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a3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влияние  нормативного  резерва  и спроса на мощность  </w:t>
      </w:r>
      <w:proofErr w:type="gramStart"/>
      <w:r>
        <w:rPr>
          <w:rFonts w:ascii="Times New Roman" w:hAnsi="Times New Roman" w:cs="Times New Roman"/>
          <w:b/>
          <w:caps/>
        </w:rPr>
        <w:t>на</w:t>
      </w:r>
      <w:proofErr w:type="gramEnd"/>
      <w:r>
        <w:rPr>
          <w:rFonts w:ascii="Times New Roman" w:hAnsi="Times New Roman" w:cs="Times New Roman"/>
          <w:b/>
          <w:caps/>
        </w:rPr>
        <w:t xml:space="preserve">  </w:t>
      </w:r>
    </w:p>
    <w:p>
      <w:pPr>
        <w:pStyle w:val="a3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процесс  обоснования  генарирующих  источников  </w:t>
      </w:r>
      <w:proofErr w:type="gramStart"/>
      <w:r>
        <w:rPr>
          <w:rFonts w:ascii="Times New Roman" w:hAnsi="Times New Roman" w:cs="Times New Roman"/>
          <w:b/>
          <w:caps/>
        </w:rPr>
        <w:t>при</w:t>
      </w:r>
      <w:proofErr w:type="gramEnd"/>
      <w:r>
        <w:rPr>
          <w:rFonts w:ascii="Times New Roman" w:hAnsi="Times New Roman" w:cs="Times New Roman"/>
          <w:b/>
          <w:caps/>
        </w:rPr>
        <w:t xml:space="preserve">  </w:t>
      </w:r>
    </w:p>
    <w:p>
      <w:pPr>
        <w:pStyle w:val="a3"/>
        <w:rPr>
          <w:rFonts w:ascii="Times New Roman" w:hAnsi="Times New Roman" w:cs="Times New Roman"/>
          <w:b/>
          <w:caps/>
        </w:rPr>
      </w:pPr>
      <w:proofErr w:type="gramStart"/>
      <w:r>
        <w:rPr>
          <w:rFonts w:ascii="Times New Roman" w:hAnsi="Times New Roman" w:cs="Times New Roman"/>
          <w:b/>
          <w:caps/>
        </w:rPr>
        <w:t>управлении</w:t>
      </w:r>
      <w:proofErr w:type="gramEnd"/>
      <w:r>
        <w:rPr>
          <w:rFonts w:ascii="Times New Roman" w:hAnsi="Times New Roman" w:cs="Times New Roman"/>
          <w:b/>
          <w:caps/>
        </w:rPr>
        <w:t xml:space="preserve">  развитием  ЕЭС  России</w:t>
      </w:r>
    </w:p>
    <w:p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Чукреев Ю.Я., Чукреев М.Ю.</w:t>
      </w:r>
    </w:p>
    <w:p>
      <w:pPr>
        <w:pStyle w:val="a3"/>
        <w:rPr>
          <w:rFonts w:ascii="Times New Roman" w:hAnsi="Times New Roman" w:cs="Times New Roman"/>
          <w:sz w:val="16"/>
          <w:szCs w:val="16"/>
        </w:rPr>
      </w:pPr>
    </w:p>
    <w:p>
      <w:pPr>
        <w:pStyle w:val="a3"/>
        <w:spacing w:line="21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Институт социально-экономических и энергетических проблем Севера </w:t>
      </w:r>
    </w:p>
    <w:p>
      <w:pPr>
        <w:pStyle w:val="a3"/>
        <w:spacing w:line="21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Федерального исследовательского центра Коми НЦ </w:t>
      </w:r>
      <w:proofErr w:type="spellStart"/>
      <w:r>
        <w:rPr>
          <w:rFonts w:ascii="Times New Roman" w:hAnsi="Times New Roman" w:cs="Times New Roman"/>
          <w:i/>
        </w:rPr>
        <w:t>УрО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УрО</w:t>
      </w:r>
      <w:proofErr w:type="spellEnd"/>
      <w:r>
        <w:rPr>
          <w:rFonts w:ascii="Times New Roman" w:hAnsi="Times New Roman" w:cs="Times New Roman"/>
          <w:i/>
        </w:rPr>
        <w:t xml:space="preserve"> РАН, </w:t>
      </w:r>
      <w:proofErr w:type="gramStart"/>
      <w:r>
        <w:rPr>
          <w:rFonts w:ascii="Times New Roman" w:hAnsi="Times New Roman" w:cs="Times New Roman"/>
          <w:i/>
        </w:rPr>
        <w:t>г</w:t>
      </w:r>
      <w:proofErr w:type="gramEnd"/>
      <w:r>
        <w:rPr>
          <w:rFonts w:ascii="Times New Roman" w:hAnsi="Times New Roman" w:cs="Times New Roman"/>
          <w:i/>
        </w:rPr>
        <w:t>. Сыктывкар, Россия</w:t>
      </w:r>
    </w:p>
    <w:p>
      <w:pPr>
        <w:pStyle w:val="a3"/>
        <w:spacing w:line="216" w:lineRule="auto"/>
        <w:ind w:firstLine="709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 xml:space="preserve">Планирование развития электроэнергетической отрасли во все времена сопряжено с формированием балансов мощности ЕЭС страны. В балансах мощности, формируемых  в </w:t>
      </w:r>
      <w:r>
        <w:rPr>
          <w:rFonts w:ascii="Times New Roman" w:hAnsi="Times New Roman" w:cs="Times New Roman"/>
        </w:rPr>
        <w:t>работе «Схема и программа развития ЕЭС страны на 7-летний период» (</w:t>
      </w:r>
      <w:proofErr w:type="spellStart"/>
      <w:r>
        <w:rPr>
          <w:rFonts w:ascii="Times New Roman" w:hAnsi="Times New Roman" w:cs="Times New Roman"/>
        </w:rPr>
        <w:t>СиПР</w:t>
      </w:r>
      <w:proofErr w:type="spellEnd"/>
      <w:r>
        <w:rPr>
          <w:rFonts w:ascii="Times New Roman" w:hAnsi="Times New Roman" w:cs="Times New Roman"/>
        </w:rPr>
        <w:t xml:space="preserve"> ЕЭС)</w:t>
      </w:r>
      <w:r>
        <w:rPr>
          <w:rStyle w:val="a9"/>
          <w:rFonts w:ascii="Times New Roman" w:hAnsi="Times New Roman" w:cs="Times New Roman"/>
          <w:spacing w:val="-4"/>
        </w:rPr>
        <w:footnoteReference w:id="1"/>
      </w:r>
      <w:r>
        <w:rPr>
          <w:rFonts w:ascii="Times New Roman" w:hAnsi="Times New Roman" w:cs="Times New Roman"/>
          <w:spacing w:val="-4"/>
        </w:rPr>
        <w:t xml:space="preserve"> имеется приходная и расходная части. Расходная часть баланса определяется спросом на мощность и </w:t>
      </w:r>
      <w:r>
        <w:rPr>
          <w:rFonts w:ascii="Times New Roman" w:hAnsi="Times New Roman" w:cs="Times New Roman"/>
        </w:rPr>
        <w:t>включает в себя три составляющие: прогнозируемый максимум нагрузки, экспорт/импорт мощности и нормативный резерв мощности. Прогноз максимального часового потребления электрической энергии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формируется на основе прогноза потребления мощности по территориям субъектам РФ для условий среднемноголетних температур наружного воздуха, применительно к </w:t>
      </w:r>
      <w:r>
        <w:rPr>
          <w:rFonts w:ascii="Times New Roman" w:hAnsi="Times New Roman" w:cs="Times New Roman"/>
          <w:spacing w:val="-4"/>
        </w:rPr>
        <w:t>декабрю месяцу</w:t>
      </w:r>
      <w:r>
        <w:rPr>
          <w:rFonts w:ascii="Times New Roman" w:hAnsi="Times New Roman" w:cs="Times New Roman"/>
        </w:rPr>
        <w:t xml:space="preserve">. Нормативный (полный) резерв мощности зависит от множества факторов, в том числе и случайно обусловленных. Его обоснование базируется на решении задачи оценки показателей балансовой надежности для максимальной нагрузки декабрьских суток применительно к расчетной схеме ЕЭС России с выделением в ней территориальных зон надежности. Для этих целей применяются различные </w:t>
      </w:r>
      <w:proofErr w:type="gramStart"/>
      <w:r>
        <w:rPr>
          <w:rFonts w:ascii="Times New Roman" w:hAnsi="Times New Roman" w:cs="Times New Roman"/>
        </w:rPr>
        <w:t>методические подходы</w:t>
      </w:r>
      <w:proofErr w:type="gramEnd"/>
      <w:r>
        <w:rPr>
          <w:rFonts w:ascii="Times New Roman" w:hAnsi="Times New Roman" w:cs="Times New Roman"/>
        </w:rPr>
        <w:t xml:space="preserve"> и математические модели [1-4]. Величины нормативного (полного) резерва мощности приводятся в методических рекомендациях (МР) по проектированию развития энергосистем. Их последняя редакция [5] была утверждена Минэнерго России в далеком 2003 г. и </w:t>
      </w:r>
      <w:r>
        <w:rPr>
          <w:rFonts w:ascii="Times New Roman" w:hAnsi="Times New Roman" w:cs="Times New Roman"/>
          <w:color w:val="000000" w:themeColor="text1"/>
        </w:rPr>
        <w:t>требует своей актуализации.</w:t>
      </w:r>
    </w:p>
    <w:p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Сегодня, в отличие от </w:t>
      </w:r>
      <w:proofErr w:type="spellStart"/>
      <w:r>
        <w:rPr>
          <w:sz w:val="24"/>
          <w:szCs w:val="24"/>
        </w:rPr>
        <w:t>доперестроечного</w:t>
      </w:r>
      <w:proofErr w:type="spellEnd"/>
      <w:r>
        <w:rPr>
          <w:sz w:val="24"/>
          <w:szCs w:val="24"/>
        </w:rPr>
        <w:t xml:space="preserve"> периода, ЕЭС России характеризуется значительными избытками мощности. Поэтому задача определения величины нормативного резерва мощности при перспективном планировании ЕЭС России должна рассматриваться совершенно в другой плоскости, связанной не с обоснованием ввода нового генерирующего оборудования, а выбора наиболее эффективного и впоследствии демонтажа физически и морально устаревшего оборудования. Задача обоснования вводов генерирующего оборудования в современных условиях осуществляются при решении задачи договоров поставки мощности (ДПМ). Выбор наиболее эффективного, в том числе с учетом решения задачи ДПМ, – в результате реализации конкурсных заявок при проведении процедуры </w:t>
      </w:r>
      <w:r>
        <w:rPr>
          <w:spacing w:val="-4"/>
          <w:sz w:val="24"/>
          <w:szCs w:val="24"/>
        </w:rPr>
        <w:t>конкурентного</w:t>
      </w:r>
      <w:r>
        <w:rPr>
          <w:sz w:val="24"/>
          <w:szCs w:val="24"/>
        </w:rPr>
        <w:t xml:space="preserve"> отбора мощности. </w:t>
      </w:r>
    </w:p>
    <w:p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изменившихся условий функционирования энергосистем потребовало разработки Положения о порядке определения величины спроса на мощность</w:t>
      </w:r>
      <w:r>
        <w:rPr>
          <w:rStyle w:val="a9"/>
          <w:sz w:val="24"/>
          <w:szCs w:val="24"/>
        </w:rPr>
        <w:footnoteReference w:id="2"/>
      </w:r>
      <w:r>
        <w:rPr>
          <w:sz w:val="24"/>
          <w:szCs w:val="24"/>
        </w:rPr>
        <w:t xml:space="preserve"> и Правил оптового рынка</w:t>
      </w:r>
      <w:r>
        <w:rPr>
          <w:rStyle w:val="a9"/>
          <w:spacing w:val="-4"/>
          <w:sz w:val="24"/>
          <w:szCs w:val="24"/>
        </w:rPr>
        <w:footnoteReference w:id="3"/>
      </w:r>
      <w:r>
        <w:rPr>
          <w:sz w:val="24"/>
          <w:szCs w:val="24"/>
        </w:rPr>
        <w:t xml:space="preserve">. Данные нормативные документы серьезно противоречат утвержденным Минэнерго России МР [5]. Это касается планового коэффициента резервирования мощности (1,17), прогнозного недоиспользования мощности, учета влияния температурного фактора и учета ограниченности производства электроэнергии гидроэлектростанциями в маловодные годы. Объяснение этого несоответствия, кроме факта некомпетентности специалистов, готовивших эти нормативные документы найти невозможно. К их подготовке и экспертизе, к </w:t>
      </w:r>
      <w:r>
        <w:rPr>
          <w:sz w:val="24"/>
          <w:szCs w:val="24"/>
        </w:rPr>
        <w:lastRenderedPageBreak/>
        <w:t xml:space="preserve">сожалению, не были привлечены специалисты академической и вузовской науки, а также отраслевых Институтов, владеющих вопросами обеспечения балансовой надежности ЭЭС. </w:t>
      </w:r>
    </w:p>
    <w:p>
      <w:pPr>
        <w:pStyle w:val="a7"/>
        <w:ind w:firstLine="709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Следует отметить, что актуализация МР 2003 г. была предпринята еще в 2011 г., то есть практически сразу после начала работ по ежегодному выполнению работы </w:t>
      </w:r>
      <w:proofErr w:type="spellStart"/>
      <w:r>
        <w:rPr>
          <w:color w:val="000000" w:themeColor="text1"/>
          <w:sz w:val="24"/>
          <w:szCs w:val="24"/>
        </w:rPr>
        <w:t>СиПР</w:t>
      </w:r>
      <w:proofErr w:type="spellEnd"/>
      <w:r>
        <w:rPr>
          <w:color w:val="000000" w:themeColor="text1"/>
          <w:sz w:val="24"/>
          <w:szCs w:val="24"/>
        </w:rPr>
        <w:t xml:space="preserve"> ЕЭС и утверждения отмеченных выше нормативных документов. По заданию АО «СО ЕЭС» ОАО «Институт </w:t>
      </w:r>
      <w:r>
        <w:rPr>
          <w:caps/>
          <w:color w:val="000000" w:themeColor="text1"/>
          <w:sz w:val="24"/>
          <w:szCs w:val="24"/>
        </w:rPr>
        <w:t>Энергосетьпроект</w:t>
      </w:r>
      <w:r>
        <w:rPr>
          <w:color w:val="000000" w:themeColor="text1"/>
          <w:sz w:val="24"/>
          <w:szCs w:val="24"/>
        </w:rPr>
        <w:t>» с привлечением специалистов научно-исследовательских институтов была выполнена новая редакция МР с учетом изменившихся условий</w:t>
      </w:r>
      <w:r>
        <w:rPr>
          <w:rStyle w:val="a9"/>
          <w:spacing w:val="-4"/>
          <w:sz w:val="24"/>
          <w:szCs w:val="24"/>
        </w:rPr>
        <w:footnoteReference w:id="4"/>
      </w:r>
      <w:r>
        <w:rPr>
          <w:color w:val="000000" w:themeColor="text1"/>
          <w:sz w:val="24"/>
          <w:szCs w:val="24"/>
        </w:rPr>
        <w:t xml:space="preserve">. В ней по инициативе заказчика работы АО «СО ЕЭС» были существенно завышены значения одной из составляющих нормативного резерва мощности – резерва на проведение плановых ремонтов оборудования. С запуском рынка мощности </w:t>
      </w:r>
      <w:r>
        <w:rPr>
          <w:sz w:val="24"/>
          <w:szCs w:val="24"/>
        </w:rPr>
        <w:t xml:space="preserve">нормы продолжительности и периодичности ремонтов утратили нормативную роль. В современных условиях, величина снижения мощности из-за проведения плановых ремонтов в осенне-зимний период определяется возможностями </w:t>
      </w:r>
      <w:proofErr w:type="spellStart"/>
      <w:r>
        <w:rPr>
          <w:sz w:val="24"/>
          <w:szCs w:val="24"/>
        </w:rPr>
        <w:t>энергокомпаний</w:t>
      </w:r>
      <w:proofErr w:type="spellEnd"/>
      <w:r>
        <w:rPr>
          <w:sz w:val="24"/>
          <w:szCs w:val="24"/>
        </w:rPr>
        <w:t xml:space="preserve"> с учетом </w:t>
      </w:r>
      <w:proofErr w:type="spellStart"/>
      <w:r>
        <w:rPr>
          <w:sz w:val="24"/>
          <w:szCs w:val="24"/>
        </w:rPr>
        <w:t>режимно-балансовой</w:t>
      </w:r>
      <w:proofErr w:type="spellEnd"/>
      <w:r>
        <w:rPr>
          <w:sz w:val="24"/>
          <w:szCs w:val="24"/>
        </w:rPr>
        <w:t xml:space="preserve"> ситуации в энергосистеме. Это приводит к значительному возрастанию ремонтной составляющей по отношению к существовавшим до 2006 г. принципам ее формирования. В Европейской части ЕЭС </w:t>
      </w:r>
      <w:r>
        <w:rPr>
          <w:color w:val="000000" w:themeColor="text1"/>
          <w:sz w:val="24"/>
          <w:szCs w:val="24"/>
        </w:rPr>
        <w:t>–</w:t>
      </w:r>
      <w:r>
        <w:rPr>
          <w:sz w:val="24"/>
          <w:szCs w:val="24"/>
        </w:rPr>
        <w:t xml:space="preserve"> к двукратному с 4-5 % до 9-10 %, в ОЭС Сибири и вовсе,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трехкратному (с 4 % до 12 %). </w:t>
      </w:r>
      <w:proofErr w:type="gramStart"/>
      <w:r>
        <w:rPr>
          <w:sz w:val="24"/>
          <w:szCs w:val="24"/>
        </w:rPr>
        <w:t xml:space="preserve">С учетом этого величины нормативных значений резерва мощности в разработанных новых МР были доведены до 20,5 % по ЕЭС России в целом и до 22 % </w:t>
      </w:r>
      <w:r>
        <w:rPr>
          <w:color w:val="000000" w:themeColor="text1"/>
          <w:sz w:val="24"/>
          <w:szCs w:val="24"/>
        </w:rPr>
        <w:t>–</w:t>
      </w:r>
      <w:r>
        <w:rPr>
          <w:sz w:val="24"/>
          <w:szCs w:val="24"/>
        </w:rPr>
        <w:t xml:space="preserve"> для ОЭС Сибири.</w:t>
      </w:r>
      <w:proofErr w:type="gramEnd"/>
      <w:r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 такой редакции они не были утверждены Минэнерго России</w:t>
      </w:r>
      <w:r>
        <w:rPr>
          <w:spacing w:val="-4"/>
          <w:sz w:val="24"/>
          <w:szCs w:val="24"/>
        </w:rPr>
        <w:t xml:space="preserve">. </w:t>
      </w:r>
      <w:r>
        <w:rPr>
          <w:sz w:val="24"/>
          <w:szCs w:val="24"/>
        </w:rPr>
        <w:t>В начале 2018 г. Министерство вновь инициировало работу по порядку определения нормативного резерва мощности. К сожалению, работа в течение почти двухлетнего периода выполняется силами ИСЭМ СО РАН. При этом публично не обсуждается ни на НТС ЕЭС России, ни в каких-либо научно-практических изданиях.</w:t>
      </w:r>
    </w:p>
    <w:p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статье на основе анализа ретроспективной информации приводятся результаты отклонений планируемых величин максимальных нагрузок и производства электроэнергии на гидроэлектростанциях от их фактических значений. Рассматриваются детали выявленных в результате анализа упомянутых выше нормативных документов противоречий и их последствия при обосновании величины спроса на мощность и одной из ее составляющих – нормативного резерва мощности. Обосновываются методические принципы учета </w:t>
      </w:r>
      <w:proofErr w:type="spellStart"/>
      <w:r>
        <w:rPr>
          <w:rFonts w:ascii="Times New Roman" w:hAnsi="Times New Roman"/>
          <w:sz w:val="24"/>
          <w:szCs w:val="24"/>
        </w:rPr>
        <w:t>энергообеспеченности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гидроэлектростанций с позиций обоснования средств резервирования. Приводятся практические результаты влияния выявленных несоответствий в упомянутых нормативных документах и наблюдаемых отклонений прогнозируемых параметров на величину спроса на мощность при проведении процедуры </w:t>
      </w:r>
      <w:r>
        <w:rPr>
          <w:rFonts w:ascii="Times New Roman" w:hAnsi="Times New Roman"/>
          <w:spacing w:val="-4"/>
          <w:sz w:val="24"/>
          <w:szCs w:val="24"/>
        </w:rPr>
        <w:t>конкурентных</w:t>
      </w:r>
      <w:r>
        <w:rPr>
          <w:rFonts w:ascii="Times New Roman" w:hAnsi="Times New Roman"/>
          <w:sz w:val="24"/>
          <w:szCs w:val="24"/>
        </w:rPr>
        <w:t xml:space="preserve"> отборов мощности.</w:t>
      </w:r>
    </w:p>
    <w:p>
      <w:pPr>
        <w:pStyle w:val="a3"/>
        <w:ind w:firstLine="709"/>
        <w:jc w:val="left"/>
        <w:rPr>
          <w:rFonts w:ascii="Times New Roman" w:hAnsi="Times New Roman" w:cs="Times New Roman"/>
        </w:rPr>
      </w:pPr>
    </w:p>
    <w:p>
      <w:pPr>
        <w:pStyle w:val="a3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Литература</w:t>
      </w:r>
    </w:p>
    <w:p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 Чукреев Ю.Я., Чукреев М.Ю. Модели оценки показателей балансовой надежности при управлении развитием электроэнергетических систем. Сыктывкар: Коми НЦ </w:t>
      </w:r>
      <w:proofErr w:type="spellStart"/>
      <w:r>
        <w:rPr>
          <w:rFonts w:ascii="Times New Roman" w:hAnsi="Times New Roman" w:cs="Times New Roman"/>
        </w:rPr>
        <w:t>УрО</w:t>
      </w:r>
      <w:proofErr w:type="spellEnd"/>
      <w:r>
        <w:rPr>
          <w:rFonts w:ascii="Times New Roman" w:hAnsi="Times New Roman" w:cs="Times New Roman"/>
        </w:rPr>
        <w:t xml:space="preserve"> РАН, 2014, 207 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  <w:p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Чукреев Ю.Я.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Модели обеспечения надежности электроэнергетических систем. Сыктывкар: Коми НЦ </w:t>
      </w:r>
      <w:proofErr w:type="spellStart"/>
      <w:r>
        <w:rPr>
          <w:rFonts w:ascii="Times New Roman" w:hAnsi="Times New Roman" w:cs="Times New Roman"/>
        </w:rPr>
        <w:t>УрО</w:t>
      </w:r>
      <w:proofErr w:type="spellEnd"/>
      <w:r>
        <w:rPr>
          <w:rFonts w:ascii="Times New Roman" w:hAnsi="Times New Roman" w:cs="Times New Roman"/>
        </w:rPr>
        <w:t xml:space="preserve"> РАН, 1995,176 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  <w:p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Ковалев Г.Ф., Лебедева Л.М. </w:t>
      </w:r>
      <w:r>
        <w:rPr>
          <w:rFonts w:ascii="Times New Roman" w:hAnsi="Times New Roman" w:cs="Times New Roman"/>
          <w:bCs/>
          <w:color w:val="000000" w:themeColor="text1"/>
        </w:rPr>
        <w:t>Надежность систем электроэнергетики. Новосибирск</w:t>
      </w:r>
      <w:r>
        <w:rPr>
          <w:rFonts w:ascii="Times New Roman" w:hAnsi="Times New Roman" w:cs="Times New Roman"/>
          <w:bCs/>
          <w:color w:val="000000" w:themeColor="text1"/>
          <w:lang w:val="en-US"/>
        </w:rPr>
        <w:t xml:space="preserve">: </w:t>
      </w:r>
      <w:r>
        <w:rPr>
          <w:rFonts w:ascii="Times New Roman" w:hAnsi="Times New Roman" w:cs="Times New Roman"/>
          <w:bCs/>
          <w:color w:val="000000" w:themeColor="text1"/>
        </w:rPr>
        <w:t>Наука</w:t>
      </w:r>
      <w:r>
        <w:rPr>
          <w:rFonts w:ascii="Times New Roman" w:hAnsi="Times New Roman" w:cs="Times New Roman"/>
          <w:bCs/>
          <w:color w:val="000000" w:themeColor="text1"/>
          <w:lang w:val="en-US"/>
        </w:rPr>
        <w:t>, 2015, 224 </w:t>
      </w:r>
      <w:proofErr w:type="gramStart"/>
      <w:r>
        <w:rPr>
          <w:rFonts w:ascii="Times New Roman" w:hAnsi="Times New Roman" w:cs="Times New Roman"/>
          <w:bCs/>
          <w:color w:val="000000" w:themeColor="text1"/>
        </w:rPr>
        <w:t>с</w:t>
      </w:r>
      <w:proofErr w:type="gramEnd"/>
      <w:r>
        <w:rPr>
          <w:rFonts w:ascii="Times New Roman" w:hAnsi="Times New Roman" w:cs="Times New Roman"/>
          <w:bCs/>
          <w:color w:val="000000" w:themeColor="text1"/>
          <w:lang w:val="en-US"/>
        </w:rPr>
        <w:t>.</w:t>
      </w:r>
    </w:p>
    <w:p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4. </w:t>
      </w:r>
      <w:proofErr w:type="spellStart"/>
      <w:r>
        <w:rPr>
          <w:rFonts w:ascii="Times New Roman" w:hAnsi="Times New Roman" w:cs="Times New Roman"/>
          <w:lang w:val="en-US"/>
        </w:rPr>
        <w:t>Billinton</w:t>
      </w:r>
      <w:proofErr w:type="spellEnd"/>
      <w:r>
        <w:rPr>
          <w:rFonts w:ascii="Times New Roman" w:hAnsi="Times New Roman" w:cs="Times New Roman"/>
          <w:lang w:val="en-US"/>
        </w:rPr>
        <w:t xml:space="preserve">, R. Reliability Evaluation of Power Systems. </w:t>
      </w:r>
      <w:proofErr w:type="gramStart"/>
      <w:r>
        <w:rPr>
          <w:rFonts w:ascii="Times New Roman" w:hAnsi="Times New Roman" w:cs="Times New Roman"/>
          <w:lang w:val="en-US"/>
        </w:rPr>
        <w:t>Second Edition / R. </w:t>
      </w:r>
      <w:proofErr w:type="spellStart"/>
      <w:r>
        <w:rPr>
          <w:rFonts w:ascii="Times New Roman" w:hAnsi="Times New Roman" w:cs="Times New Roman"/>
          <w:lang w:val="en-US"/>
        </w:rPr>
        <w:t>Billinton</w:t>
      </w:r>
      <w:proofErr w:type="spellEnd"/>
      <w:r>
        <w:rPr>
          <w:rFonts w:ascii="Times New Roman" w:hAnsi="Times New Roman" w:cs="Times New Roman"/>
          <w:lang w:val="en-US"/>
        </w:rPr>
        <w:t>, R.N. Allan.</w:t>
      </w:r>
      <w:proofErr w:type="gramEnd"/>
      <w:r>
        <w:rPr>
          <w:rFonts w:ascii="Times New Roman" w:hAnsi="Times New Roman" w:cs="Times New Roman"/>
          <w:lang w:val="en-US"/>
        </w:rPr>
        <w:t xml:space="preserve"> New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York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and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London</w:t>
      </w:r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Plenum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Press</w:t>
      </w:r>
      <w:r>
        <w:rPr>
          <w:rFonts w:ascii="Times New Roman" w:hAnsi="Times New Roman" w:cs="Times New Roman"/>
        </w:rPr>
        <w:t>, 1996. 509</w:t>
      </w:r>
      <w:r>
        <w:rPr>
          <w:rFonts w:ascii="Times New Roman" w:hAnsi="Times New Roman" w:cs="Times New Roman"/>
          <w:lang w:val="en-US"/>
        </w:rPr>
        <w:t> p</w:t>
      </w:r>
      <w:r>
        <w:rPr>
          <w:rFonts w:ascii="Times New Roman" w:hAnsi="Times New Roman" w:cs="Times New Roman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Методические рекомендации по проектированию развития энергосистем. (Утверждено Приказом Минэнерго России от 30 июня 2003 г., № 281). М.: Минэнерго РФ, СО 153-34.20.118-2003.</w:t>
      </w:r>
    </w:p>
    <w:sect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180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a7"/>
        <w:ind w:firstLine="142"/>
        <w:jc w:val="both"/>
      </w:pPr>
      <w:r>
        <w:rPr>
          <w:rStyle w:val="a9"/>
          <w:sz w:val="21"/>
          <w:szCs w:val="21"/>
        </w:rPr>
        <w:footnoteRef/>
      </w:r>
      <w:r>
        <w:rPr>
          <w:sz w:val="21"/>
          <w:szCs w:val="21"/>
        </w:rPr>
        <w:t> </w:t>
      </w:r>
      <w:r>
        <w:t>Правила разработки и утверждения схем и программ перспективного развития электроэнергетики, утвержденные постановлением Правительства РФ от 17.10.2009 № 823.</w:t>
      </w:r>
    </w:p>
  </w:footnote>
  <w:footnote w:id="2">
    <w:p>
      <w:pPr>
        <w:pStyle w:val="a7"/>
        <w:ind w:firstLine="142"/>
        <w:jc w:val="both"/>
      </w:pPr>
      <w:r>
        <w:rPr>
          <w:rStyle w:val="a9"/>
        </w:rPr>
        <w:footnoteRef/>
      </w:r>
      <w:r>
        <w:t xml:space="preserve"> Положение </w:t>
      </w:r>
      <w:proofErr w:type="gramStart"/>
      <w:r>
        <w:t>о порядке определения величины спроса на мощность для проведения долгосрочного отбора мощности на конкурентной основе на оптовом рынке</w:t>
      </w:r>
      <w:proofErr w:type="gramEnd"/>
      <w:r>
        <w:t xml:space="preserve"> электрической энергии (мощности) и порядке определения плановых коэффициентов резервирования мощности в зонах (группах зон) свободного </w:t>
      </w:r>
      <w:proofErr w:type="spellStart"/>
      <w:r>
        <w:t>перетока</w:t>
      </w:r>
      <w:proofErr w:type="spellEnd"/>
      <w:r>
        <w:t xml:space="preserve"> электрической энергии (мощности), утвержденное Приказом Минэнерго России от 07.09.2010 № 431 (ред. от 17.08.2017).  </w:t>
      </w:r>
    </w:p>
  </w:footnote>
  <w:footnote w:id="3">
    <w:p>
      <w:pPr>
        <w:pStyle w:val="a7"/>
        <w:ind w:firstLine="142"/>
        <w:jc w:val="both"/>
      </w:pPr>
      <w:r>
        <w:rPr>
          <w:rStyle w:val="a9"/>
        </w:rPr>
        <w:footnoteRef/>
      </w:r>
      <w:r>
        <w:t> </w:t>
      </w:r>
      <w:r>
        <w:rPr>
          <w:spacing w:val="-4"/>
        </w:rPr>
        <w:t>Постановление Правительства РФ № 1172 от 27.12.2010 (ред. от 19.01.2018) «Об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мощности».</w:t>
      </w:r>
    </w:p>
  </w:footnote>
  <w:footnote w:id="4">
    <w:p>
      <w:pPr>
        <w:pStyle w:val="a7"/>
        <w:ind w:firstLine="142"/>
        <w:jc w:val="both"/>
      </w:pPr>
      <w:r>
        <w:rPr>
          <w:rStyle w:val="a9"/>
        </w:rPr>
        <w:footnoteRef/>
      </w:r>
      <w:r>
        <w:t> </w:t>
      </w:r>
      <w:proofErr w:type="gramStart"/>
      <w:r>
        <w:rPr>
          <w:bCs/>
        </w:rPr>
        <w:t>Методические рекомендации по проектированию развития энергосистем / ОАО «Институт «</w:t>
      </w:r>
      <w:proofErr w:type="spellStart"/>
      <w:r>
        <w:rPr>
          <w:bCs/>
        </w:rPr>
        <w:t>Энергосетьпроект</w:t>
      </w:r>
      <w:proofErr w:type="spellEnd"/>
      <w:r>
        <w:rPr>
          <w:bCs/>
        </w:rPr>
        <w:t>», 2012 г. (одобрены НП «НТС ЕЭС», секция «Техническое регулирование в электроэнергетике» в июле 2012 г.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4E95"/>
    <w:multiLevelType w:val="hybridMultilevel"/>
    <w:tmpl w:val="421CA9C2"/>
    <w:lvl w:ilvl="0" w:tplc="55843478">
      <w:start w:val="2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8D5B79"/>
    <w:multiLevelType w:val="hybridMultilevel"/>
    <w:tmpl w:val="DAD2231E"/>
    <w:lvl w:ilvl="0" w:tplc="A6861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9925B0"/>
    <w:multiLevelType w:val="hybridMultilevel"/>
    <w:tmpl w:val="07603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F150A"/>
    <w:multiLevelType w:val="hybridMultilevel"/>
    <w:tmpl w:val="386ABD62"/>
    <w:lvl w:ilvl="0" w:tplc="732CC10A">
      <w:start w:val="2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711B24"/>
    <w:multiLevelType w:val="hybridMultilevel"/>
    <w:tmpl w:val="FD2ABD4E"/>
    <w:lvl w:ilvl="0" w:tplc="929E1E5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B9652E"/>
    <w:multiLevelType w:val="hybridMultilevel"/>
    <w:tmpl w:val="EBC8F54C"/>
    <w:lvl w:ilvl="0" w:tplc="D4348D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E661108"/>
    <w:multiLevelType w:val="hybridMultilevel"/>
    <w:tmpl w:val="04C69CA0"/>
    <w:lvl w:ilvl="0" w:tplc="C18465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13A15DE"/>
    <w:multiLevelType w:val="hybridMultilevel"/>
    <w:tmpl w:val="DED66762"/>
    <w:lvl w:ilvl="0" w:tplc="EB1046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B63541"/>
    <w:multiLevelType w:val="hybridMultilevel"/>
    <w:tmpl w:val="5C76B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E538CB"/>
    <w:multiLevelType w:val="hybridMultilevel"/>
    <w:tmpl w:val="B42A5CEE"/>
    <w:lvl w:ilvl="0" w:tplc="C18810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CD83D5E"/>
    <w:multiLevelType w:val="hybridMultilevel"/>
    <w:tmpl w:val="1C92837E"/>
    <w:lvl w:ilvl="0" w:tplc="E020EE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0"/>
  </w:num>
  <w:num w:numId="8">
    <w:abstractNumId w:val="6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9"/>
        <o:entry new="11" old="0"/>
        <o:entry new="12" old="0"/>
        <o:entry new="13" old="12"/>
        <o:entry new="14" old="13"/>
        <o:entry new="15" old="13"/>
        <o:entry new="16" old="12"/>
        <o:entry new="17" old="0"/>
        <o:entry new="18" old="0"/>
        <o:entry new="19" old="18"/>
        <o:entry new="20" old="0"/>
        <o:entry new="21" old="20"/>
        <o:entry new="22" old="21"/>
        <o:entry new="23" old="22"/>
        <o:entry new="24" old="0"/>
        <o:entry new="25" old="0"/>
        <o:entry new="26" old="25"/>
        <o:entry new="27" old="21"/>
        <o:entry new="28" old="27"/>
        <o:entry new="29" old="0"/>
        <o:entry new="30" old="20"/>
        <o:entry new="31" old="30"/>
        <o:entry new="32" old="0"/>
        <o:entry new="33" old="32"/>
        <o:entry new="34" old="19"/>
        <o:entry new="35" old="0"/>
        <o:entry new="36" old="0"/>
        <o:entry new="37" old="0"/>
        <o:entry new="38" old="37"/>
        <o:entry new="39" old="38"/>
        <o:entry new="40" old="0"/>
        <o:entry new="41" old="40"/>
        <o:entry new="42" old="40"/>
        <o:entry new="43" old="0"/>
        <o:entry new="44" old="0"/>
        <o:entry new="45" old="0"/>
        <o:entry new="46" old="45"/>
        <o:entry new="47" old="46"/>
        <o:entry new="48" old="42"/>
        <o:entry new="49" old="42"/>
        <o:entry new="50" old="49"/>
        <o:entry new="51" old="49"/>
        <o:entry new="52" old="51"/>
        <o:entry new="53" old="51"/>
        <o:entry new="54" old="53"/>
        <o:entry new="55" old="52"/>
        <o:entry new="56" old="50"/>
        <o:entry new="57" old="0"/>
        <o:entry new="58" old="57"/>
        <o:entry new="59" old="58"/>
        <o:entry new="60" old="59"/>
        <o:entry new="61" old="0"/>
        <o:entry new="62" old="0"/>
        <o:entry new="63" old="62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Инициалы,Без отступа"/>
    <w:link w:val="a4"/>
    <w:uiPriority w:val="1"/>
    <w:qFormat/>
    <w:pPr>
      <w:jc w:val="center"/>
    </w:pPr>
    <w:rPr>
      <w:rFonts w:ascii="Arial" w:eastAsia="Calibri" w:hAnsi="Arial" w:cs="Arial"/>
      <w:sz w:val="24"/>
      <w:szCs w:val="24"/>
      <w:lang w:eastAsia="en-US"/>
    </w:rPr>
  </w:style>
  <w:style w:type="paragraph" w:styleId="21">
    <w:name w:val="Body Text Indent 2"/>
    <w:basedOn w:val="a"/>
    <w:link w:val="22"/>
    <w:pPr>
      <w:spacing w:after="0" w:line="360" w:lineRule="auto"/>
      <w:ind w:firstLine="567"/>
      <w:jc w:val="both"/>
    </w:pPr>
    <w:rPr>
      <w:rFonts w:ascii="Times New Roman" w:hAnsi="Times New Roman"/>
      <w:b/>
      <w:i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a5">
    <w:name w:val="Знак Знак Знак Знак"/>
    <w:basedOn w:val="a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hAnsi="Times New Roman"/>
      <w:b/>
      <w:caps/>
      <w:sz w:val="32"/>
      <w:szCs w:val="32"/>
      <w:lang w:val="en-US" w:eastAsia="en-US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footnote text"/>
    <w:basedOn w:val="a"/>
    <w:link w:val="a8"/>
    <w:unhideWhenUsed/>
    <w:pPr>
      <w:spacing w:after="0" w:line="240" w:lineRule="auto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rPr>
      <w:rFonts w:ascii="Times New Roman" w:eastAsia="Calibri" w:hAnsi="Times New Roman"/>
      <w:lang w:eastAsia="en-US"/>
    </w:rPr>
  </w:style>
  <w:style w:type="character" w:styleId="a9">
    <w:name w:val="footnote reference"/>
    <w:basedOn w:val="a0"/>
    <w:unhideWhenUsed/>
    <w:rPr>
      <w:vertAlign w:val="superscript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Pr>
      <w:rFonts w:ascii="Courier New" w:hAnsi="Courier New"/>
    </w:rPr>
  </w:style>
  <w:style w:type="table" w:styleId="ac">
    <w:name w:val="Table Grid"/>
    <w:basedOn w:val="a1"/>
    <w:uiPriority w:val="59"/>
    <w:rPr>
      <w:rFonts w:ascii="Times New Roman" w:eastAsia="Calibri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qFormat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0">
    <w:name w:val="Placeholder Text"/>
    <w:basedOn w:val="a0"/>
    <w:uiPriority w:val="99"/>
    <w:semiHidden/>
    <w:rPr>
      <w:color w:val="808080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af4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/>
      <w:b/>
      <w:bCs/>
      <w:sz w:val="36"/>
      <w:szCs w:val="36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Pr>
      <w:rFonts w:ascii="Times New Roman" w:hAnsi="Times New Roman"/>
    </w:rPr>
  </w:style>
  <w:style w:type="paragraph" w:styleId="afa">
    <w:name w:val="header"/>
    <w:basedOn w:val="a"/>
    <w:link w:val="afb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b">
    <w:name w:val="Верхний колонтитул Знак"/>
    <w:basedOn w:val="a0"/>
    <w:link w:val="afa"/>
    <w:rPr>
      <w:rFonts w:ascii="Times New Roman" w:hAnsi="Times New Roman"/>
      <w:sz w:val="24"/>
      <w:szCs w:val="24"/>
    </w:rPr>
  </w:style>
  <w:style w:type="character" w:customStyle="1" w:styleId="20pt">
    <w:name w:val="Основной текст (2) + Не курсив;Интервал 0 p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18"/>
      <w:szCs w:val="18"/>
    </w:rPr>
  </w:style>
  <w:style w:type="character" w:customStyle="1" w:styleId="65pt">
    <w:name w:val="Колонтитул + 6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2"/>
      <w:szCs w:val="12"/>
    </w:rPr>
  </w:style>
  <w:style w:type="paragraph" w:customStyle="1" w:styleId="11">
    <w:name w:val="Без интервала1"/>
    <w:pPr>
      <w:suppressAutoHyphens/>
    </w:pPr>
    <w:rPr>
      <w:rFonts w:eastAsia="font180" w:cs="font180"/>
      <w:kern w:val="1"/>
      <w:sz w:val="22"/>
      <w:szCs w:val="22"/>
    </w:rPr>
  </w:style>
  <w:style w:type="character" w:customStyle="1" w:styleId="12">
    <w:name w:val="Знак сноски1"/>
    <w:basedOn w:val="a0"/>
    <w:rPr>
      <w:vertAlign w:val="superscript"/>
    </w:rPr>
  </w:style>
  <w:style w:type="character" w:customStyle="1" w:styleId="afc">
    <w:name w:val="Символ сноски"/>
  </w:style>
  <w:style w:type="character" w:customStyle="1" w:styleId="13">
    <w:name w:val="Замещающий текст1"/>
    <w:basedOn w:val="a0"/>
    <w:rPr>
      <w:color w:val="808080"/>
    </w:rPr>
  </w:style>
  <w:style w:type="character" w:customStyle="1" w:styleId="postal-code">
    <w:name w:val="postal-code"/>
    <w:basedOn w:val="a0"/>
  </w:style>
  <w:style w:type="character" w:customStyle="1" w:styleId="apple-converted-space">
    <w:name w:val="apple-converted-space"/>
    <w:basedOn w:val="a0"/>
  </w:style>
  <w:style w:type="character" w:customStyle="1" w:styleId="country-name">
    <w:name w:val="country-name"/>
    <w:basedOn w:val="a0"/>
  </w:style>
  <w:style w:type="character" w:customStyle="1" w:styleId="locality">
    <w:name w:val="locality"/>
    <w:basedOn w:val="a0"/>
  </w:style>
  <w:style w:type="character" w:customStyle="1" w:styleId="street-address">
    <w:name w:val="street-address"/>
    <w:basedOn w:val="a0"/>
  </w:style>
  <w:style w:type="character" w:customStyle="1" w:styleId="a4">
    <w:name w:val="Без интервала Знак"/>
    <w:aliases w:val="Инициалы Знак,Без отступа Знак"/>
    <w:basedOn w:val="a0"/>
    <w:link w:val="a3"/>
    <w:uiPriority w:val="1"/>
    <w:locked/>
    <w:rPr>
      <w:rFonts w:ascii="Arial" w:eastAsia="Calibri" w:hAnsi="Arial" w:cs="Arial"/>
      <w:sz w:val="24"/>
      <w:szCs w:val="24"/>
      <w:lang w:eastAsia="en-US"/>
    </w:rPr>
  </w:style>
  <w:style w:type="paragraph" w:styleId="afd">
    <w:name w:val="footer"/>
    <w:basedOn w:val="a"/>
    <w:link w:val="afe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semiHidden/>
    <w:rPr>
      <w:sz w:val="22"/>
      <w:szCs w:val="22"/>
    </w:rPr>
  </w:style>
  <w:style w:type="paragraph" w:styleId="aff">
    <w:name w:val="Body Text"/>
    <w:basedOn w:val="a"/>
    <w:link w:val="aff0"/>
    <w:uiPriority w:val="99"/>
    <w:semiHidden/>
    <w:unhideWhenUsed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semiHidden/>
    <w:rPr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948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8107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7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2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10480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0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8643">
                              <w:marLeft w:val="0"/>
                              <w:marRight w:val="0"/>
                              <w:marTop w:val="2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B77AB57-B54D-4E39-8E4C-F7078EABC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ИСЭиЭПС Коми НЦ УрО РАН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Чукреев Ю.Я.</dc:creator>
  <cp:lastModifiedBy>Чукреев</cp:lastModifiedBy>
  <cp:revision>2</cp:revision>
  <cp:lastPrinted>2016-06-10T06:51:00Z</cp:lastPrinted>
  <dcterms:created xsi:type="dcterms:W3CDTF">2020-01-29T06:30:00Z</dcterms:created>
  <dcterms:modified xsi:type="dcterms:W3CDTF">2020-01-29T06:30:00Z</dcterms:modified>
</cp:coreProperties>
</file>