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2E" w:rsidRPr="0077302E" w:rsidRDefault="0077302E" w:rsidP="0077302E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302E">
        <w:rPr>
          <w:rFonts w:ascii="Times New Roman" w:hAnsi="Times New Roman" w:cs="Times New Roman"/>
          <w:b/>
          <w:sz w:val="24"/>
          <w:szCs w:val="24"/>
        </w:rPr>
        <w:t>РАЗРАБОТКА МЕТОДОВ ИССЛЕДОВАНИЯ ГИБКОСТИ</w:t>
      </w:r>
      <w:r w:rsidRPr="00854CE8">
        <w:rPr>
          <w:rFonts w:ascii="Times New Roman" w:hAnsi="Times New Roman" w:cs="Times New Roman"/>
          <w:sz w:val="24"/>
          <w:szCs w:val="24"/>
        </w:rPr>
        <w:t xml:space="preserve"> </w:t>
      </w:r>
      <w:r w:rsidRPr="0077302E">
        <w:rPr>
          <w:rFonts w:ascii="Times New Roman" w:eastAsia="Calibri" w:hAnsi="Times New Roman" w:cs="Times New Roman"/>
          <w:b/>
          <w:sz w:val="24"/>
          <w:szCs w:val="24"/>
        </w:rPr>
        <w:t>ЭЛЕКТРОЭНЕРГЕТИЧЕСКИХ СИСТЕМ</w:t>
      </w:r>
    </w:p>
    <w:p w:rsidR="0077302E" w:rsidRPr="0077302E" w:rsidRDefault="0077302E" w:rsidP="0077302E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302E">
        <w:rPr>
          <w:rFonts w:ascii="Times New Roman" w:eastAsia="Calibri" w:hAnsi="Times New Roman" w:cs="Times New Roman"/>
          <w:b/>
          <w:sz w:val="24"/>
          <w:szCs w:val="24"/>
        </w:rPr>
        <w:t xml:space="preserve">Глазунова А.М., </w:t>
      </w:r>
      <w:proofErr w:type="spellStart"/>
      <w:r w:rsidRPr="0077302E">
        <w:rPr>
          <w:rFonts w:ascii="Times New Roman" w:eastAsia="Calibri" w:hAnsi="Times New Roman" w:cs="Times New Roman"/>
          <w:b/>
          <w:sz w:val="24"/>
          <w:szCs w:val="24"/>
        </w:rPr>
        <w:t>Аксаева</w:t>
      </w:r>
      <w:proofErr w:type="spellEnd"/>
      <w:r w:rsidRPr="0077302E">
        <w:rPr>
          <w:rFonts w:ascii="Times New Roman" w:eastAsia="Calibri" w:hAnsi="Times New Roman" w:cs="Times New Roman"/>
          <w:b/>
          <w:sz w:val="24"/>
          <w:szCs w:val="24"/>
        </w:rPr>
        <w:t xml:space="preserve"> Е.С.</w:t>
      </w:r>
    </w:p>
    <w:p w:rsidR="0077302E" w:rsidRPr="0077302E" w:rsidRDefault="0077302E" w:rsidP="0077302E">
      <w:pPr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7302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Институт систем энергетики им. Л.А. Мелентьева Сибирского отделения Российской академии наук, Иркутск, Россия</w:t>
      </w:r>
    </w:p>
    <w:p w:rsidR="0077302E" w:rsidRDefault="0077302E" w:rsidP="00957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A73" w:rsidRDefault="005D1EF4" w:rsidP="0094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EF4">
        <w:rPr>
          <w:rFonts w:ascii="Times New Roman" w:hAnsi="Times New Roman" w:cs="Times New Roman"/>
          <w:sz w:val="24"/>
          <w:szCs w:val="24"/>
        </w:rPr>
        <w:t>С точки зрения управления электр</w:t>
      </w:r>
      <w:r w:rsidR="004824FA">
        <w:rPr>
          <w:rFonts w:ascii="Times New Roman" w:hAnsi="Times New Roman" w:cs="Times New Roman"/>
          <w:sz w:val="24"/>
          <w:szCs w:val="24"/>
        </w:rPr>
        <w:t>оэнергет</w:t>
      </w:r>
      <w:r w:rsidRPr="005D1EF4">
        <w:rPr>
          <w:rFonts w:ascii="Times New Roman" w:hAnsi="Times New Roman" w:cs="Times New Roman"/>
          <w:sz w:val="24"/>
          <w:szCs w:val="24"/>
        </w:rPr>
        <w:t>ической системой (ЭЭС</w:t>
      </w:r>
      <w:r w:rsidR="009C6597">
        <w:rPr>
          <w:rFonts w:ascii="Times New Roman" w:hAnsi="Times New Roman" w:cs="Times New Roman"/>
          <w:sz w:val="24"/>
          <w:szCs w:val="24"/>
        </w:rPr>
        <w:t>)</w:t>
      </w:r>
      <w:r w:rsidRPr="005D1EF4">
        <w:rPr>
          <w:rFonts w:ascii="Times New Roman" w:hAnsi="Times New Roman" w:cs="Times New Roman"/>
          <w:sz w:val="24"/>
          <w:szCs w:val="24"/>
        </w:rPr>
        <w:t xml:space="preserve"> гибкость</w:t>
      </w:r>
      <w:r w:rsidR="008E725D" w:rsidRPr="008E725D">
        <w:rPr>
          <w:rFonts w:ascii="Times New Roman" w:hAnsi="Times New Roman" w:cs="Times New Roman"/>
          <w:sz w:val="24"/>
          <w:szCs w:val="24"/>
        </w:rPr>
        <w:t xml:space="preserve"> </w:t>
      </w:r>
      <w:r w:rsidR="008E725D" w:rsidRPr="005D1EF4">
        <w:rPr>
          <w:rFonts w:ascii="Times New Roman" w:hAnsi="Times New Roman" w:cs="Times New Roman"/>
          <w:sz w:val="24"/>
          <w:szCs w:val="24"/>
        </w:rPr>
        <w:t>ЭЭС</w:t>
      </w:r>
      <w:r w:rsidR="000E61B6">
        <w:rPr>
          <w:rFonts w:ascii="Times New Roman" w:hAnsi="Times New Roman" w:cs="Times New Roman"/>
          <w:sz w:val="24"/>
          <w:szCs w:val="24"/>
        </w:rPr>
        <w:t xml:space="preserve">, оснащенной </w:t>
      </w:r>
      <w:r w:rsidR="000E61B6">
        <w:rPr>
          <w:rFonts w:ascii="Times New Roman" w:hAnsi="Times New Roman" w:cs="Times New Roman"/>
          <w:sz w:val="24"/>
          <w:szCs w:val="24"/>
        </w:rPr>
        <w:t>генерирующ</w:t>
      </w:r>
      <w:r w:rsidR="000E61B6">
        <w:rPr>
          <w:rFonts w:ascii="Times New Roman" w:hAnsi="Times New Roman" w:cs="Times New Roman"/>
          <w:sz w:val="24"/>
          <w:szCs w:val="24"/>
        </w:rPr>
        <w:t>им</w:t>
      </w:r>
      <w:r w:rsidR="000E61B6">
        <w:rPr>
          <w:rFonts w:ascii="Times New Roman" w:hAnsi="Times New Roman" w:cs="Times New Roman"/>
          <w:sz w:val="24"/>
          <w:szCs w:val="24"/>
        </w:rPr>
        <w:t xml:space="preserve"> оборудовани</w:t>
      </w:r>
      <w:r w:rsidR="000E61B6">
        <w:rPr>
          <w:rFonts w:ascii="Times New Roman" w:hAnsi="Times New Roman" w:cs="Times New Roman"/>
          <w:sz w:val="24"/>
          <w:szCs w:val="24"/>
        </w:rPr>
        <w:t xml:space="preserve">ем </w:t>
      </w:r>
      <w:r w:rsidR="008E725D">
        <w:rPr>
          <w:rFonts w:ascii="Times New Roman" w:hAnsi="Times New Roman" w:cs="Times New Roman"/>
          <w:sz w:val="24"/>
          <w:szCs w:val="24"/>
        </w:rPr>
        <w:t>с конкретными</w:t>
      </w:r>
      <w:r w:rsidR="008E725D" w:rsidRPr="005D1EF4">
        <w:rPr>
          <w:rFonts w:ascii="Times New Roman" w:hAnsi="Times New Roman" w:cs="Times New Roman"/>
          <w:sz w:val="24"/>
          <w:szCs w:val="24"/>
        </w:rPr>
        <w:t xml:space="preserve"> </w:t>
      </w:r>
      <w:r w:rsidR="008E725D">
        <w:rPr>
          <w:rFonts w:ascii="Times New Roman" w:hAnsi="Times New Roman" w:cs="Times New Roman"/>
          <w:sz w:val="24"/>
          <w:szCs w:val="24"/>
        </w:rPr>
        <w:t>характеристиками</w:t>
      </w:r>
      <w:r w:rsidR="008E725D" w:rsidRPr="005D1EF4">
        <w:rPr>
          <w:rFonts w:ascii="Times New Roman" w:hAnsi="Times New Roman" w:cs="Times New Roman"/>
          <w:sz w:val="24"/>
          <w:szCs w:val="24"/>
        </w:rPr>
        <w:t xml:space="preserve"> </w:t>
      </w:r>
      <w:r w:rsidR="008E725D">
        <w:rPr>
          <w:rFonts w:ascii="Times New Roman" w:hAnsi="Times New Roman" w:cs="Times New Roman"/>
          <w:sz w:val="24"/>
          <w:szCs w:val="24"/>
        </w:rPr>
        <w:t>маневренности</w:t>
      </w:r>
      <w:r w:rsidR="000E61B6">
        <w:rPr>
          <w:rFonts w:ascii="Times New Roman" w:hAnsi="Times New Roman" w:cs="Times New Roman"/>
          <w:sz w:val="24"/>
          <w:szCs w:val="24"/>
        </w:rPr>
        <w:t>,</w:t>
      </w:r>
      <w:r w:rsidR="008E725D" w:rsidRPr="008E725D">
        <w:rPr>
          <w:rFonts w:ascii="Times New Roman" w:hAnsi="Times New Roman" w:cs="Times New Roman"/>
          <w:sz w:val="24"/>
          <w:szCs w:val="24"/>
        </w:rPr>
        <w:t xml:space="preserve"> </w:t>
      </w:r>
      <w:r w:rsidR="004824FA">
        <w:rPr>
          <w:rFonts w:ascii="Times New Roman" w:hAnsi="Times New Roman" w:cs="Times New Roman"/>
          <w:sz w:val="24"/>
          <w:szCs w:val="24"/>
        </w:rPr>
        <w:t>близко связана с ее</w:t>
      </w:r>
      <w:r w:rsidRPr="005D1EF4">
        <w:rPr>
          <w:rFonts w:ascii="Times New Roman" w:hAnsi="Times New Roman" w:cs="Times New Roman"/>
          <w:sz w:val="24"/>
          <w:szCs w:val="24"/>
        </w:rPr>
        <w:t xml:space="preserve"> способность</w:t>
      </w:r>
      <w:r w:rsidR="00A80B88">
        <w:rPr>
          <w:rFonts w:ascii="Times New Roman" w:hAnsi="Times New Roman" w:cs="Times New Roman"/>
          <w:sz w:val="24"/>
          <w:szCs w:val="24"/>
        </w:rPr>
        <w:t>ю</w:t>
      </w:r>
      <w:r w:rsidRPr="005D1EF4">
        <w:rPr>
          <w:rFonts w:ascii="Times New Roman" w:hAnsi="Times New Roman" w:cs="Times New Roman"/>
          <w:sz w:val="24"/>
          <w:szCs w:val="24"/>
        </w:rPr>
        <w:t xml:space="preserve"> поддерживать частоту и напряжение в с</w:t>
      </w:r>
      <w:r w:rsidR="008E725D">
        <w:rPr>
          <w:rFonts w:ascii="Times New Roman" w:hAnsi="Times New Roman" w:cs="Times New Roman"/>
          <w:sz w:val="24"/>
          <w:szCs w:val="24"/>
        </w:rPr>
        <w:t>истеме</w:t>
      </w:r>
      <w:r w:rsidRPr="005D1EF4">
        <w:rPr>
          <w:rFonts w:ascii="Times New Roman" w:hAnsi="Times New Roman" w:cs="Times New Roman"/>
          <w:sz w:val="24"/>
          <w:szCs w:val="24"/>
        </w:rPr>
        <w:t xml:space="preserve"> в условиях неопределенности и изменчивости </w:t>
      </w:r>
      <w:sdt>
        <w:sdtPr>
          <w:rPr>
            <w:rFonts w:ascii="Times New Roman" w:hAnsi="Times New Roman" w:cs="Times New Roman"/>
            <w:sz w:val="24"/>
            <w:szCs w:val="24"/>
          </w:rPr>
          <w:id w:val="820232587"/>
          <w:citation/>
        </w:sdtPr>
        <w:sdtEndPr/>
        <w:sdtContent>
          <w:r w:rsidR="006E14C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E14CB">
            <w:rPr>
              <w:rFonts w:ascii="Times New Roman" w:hAnsi="Times New Roman" w:cs="Times New Roman"/>
              <w:sz w:val="24"/>
              <w:szCs w:val="24"/>
            </w:rPr>
            <w:instrText xml:space="preserve">CITATION Pet15 \l 1049 </w:instrText>
          </w:r>
          <w:r w:rsidR="006E14C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D0061" w:rsidRPr="003D0061">
            <w:rPr>
              <w:rFonts w:ascii="Times New Roman" w:hAnsi="Times New Roman" w:cs="Times New Roman"/>
              <w:noProof/>
              <w:sz w:val="24"/>
              <w:szCs w:val="24"/>
            </w:rPr>
            <w:t>[1]</w:t>
          </w:r>
          <w:r w:rsidR="006E14C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D1EF4">
        <w:rPr>
          <w:rFonts w:ascii="Times New Roman" w:hAnsi="Times New Roman" w:cs="Times New Roman"/>
          <w:sz w:val="24"/>
          <w:szCs w:val="24"/>
        </w:rPr>
        <w:t>.</w:t>
      </w:r>
      <w:r w:rsidR="00006D27">
        <w:rPr>
          <w:rFonts w:ascii="Times New Roman" w:hAnsi="Times New Roman" w:cs="Times New Roman"/>
          <w:sz w:val="24"/>
          <w:szCs w:val="24"/>
        </w:rPr>
        <w:t xml:space="preserve"> </w:t>
      </w:r>
      <w:r w:rsidR="0060699B">
        <w:rPr>
          <w:rFonts w:ascii="Times New Roman" w:hAnsi="Times New Roman" w:cs="Times New Roman"/>
          <w:sz w:val="24"/>
          <w:szCs w:val="24"/>
        </w:rPr>
        <w:t>Т</w:t>
      </w:r>
      <w:r w:rsidR="00957A73" w:rsidRPr="005D1EF4">
        <w:rPr>
          <w:rFonts w:ascii="Times New Roman" w:hAnsi="Times New Roman" w:cs="Times New Roman"/>
          <w:sz w:val="24"/>
          <w:szCs w:val="24"/>
        </w:rPr>
        <w:t>епловы</w:t>
      </w:r>
      <w:r w:rsidR="0060699B">
        <w:rPr>
          <w:rFonts w:ascii="Times New Roman" w:hAnsi="Times New Roman" w:cs="Times New Roman"/>
          <w:sz w:val="24"/>
          <w:szCs w:val="24"/>
        </w:rPr>
        <w:t>е</w:t>
      </w:r>
      <w:r w:rsidR="00957A73" w:rsidRPr="005D1EF4">
        <w:rPr>
          <w:rFonts w:ascii="Times New Roman" w:hAnsi="Times New Roman" w:cs="Times New Roman"/>
          <w:sz w:val="24"/>
          <w:szCs w:val="24"/>
        </w:rPr>
        <w:t xml:space="preserve"> и гидроэлектростанци</w:t>
      </w:r>
      <w:r w:rsidR="0060699B">
        <w:rPr>
          <w:rFonts w:ascii="Times New Roman" w:hAnsi="Times New Roman" w:cs="Times New Roman"/>
          <w:sz w:val="24"/>
          <w:szCs w:val="24"/>
        </w:rPr>
        <w:t xml:space="preserve">и, </w:t>
      </w:r>
      <w:r w:rsidR="00DC3409">
        <w:rPr>
          <w:rFonts w:ascii="Times New Roman" w:hAnsi="Times New Roman" w:cs="Times New Roman"/>
          <w:sz w:val="24"/>
          <w:szCs w:val="24"/>
        </w:rPr>
        <w:t>обладающие свойством</w:t>
      </w:r>
      <w:r w:rsidR="0060699B">
        <w:rPr>
          <w:rFonts w:ascii="Times New Roman" w:hAnsi="Times New Roman" w:cs="Times New Roman"/>
          <w:sz w:val="24"/>
          <w:szCs w:val="24"/>
        </w:rPr>
        <w:t xml:space="preserve"> </w:t>
      </w:r>
      <w:r w:rsidR="00957A73" w:rsidRPr="005D1EF4">
        <w:rPr>
          <w:rFonts w:ascii="Times New Roman" w:hAnsi="Times New Roman" w:cs="Times New Roman"/>
          <w:sz w:val="24"/>
          <w:szCs w:val="24"/>
        </w:rPr>
        <w:t>быстр</w:t>
      </w:r>
      <w:r w:rsidR="0060699B">
        <w:rPr>
          <w:rFonts w:ascii="Times New Roman" w:hAnsi="Times New Roman" w:cs="Times New Roman"/>
          <w:sz w:val="24"/>
          <w:szCs w:val="24"/>
        </w:rPr>
        <w:t>о</w:t>
      </w:r>
      <w:r w:rsidR="00957A73" w:rsidRPr="005D1EF4">
        <w:rPr>
          <w:rFonts w:ascii="Times New Roman" w:hAnsi="Times New Roman" w:cs="Times New Roman"/>
          <w:sz w:val="24"/>
          <w:szCs w:val="24"/>
        </w:rPr>
        <w:t xml:space="preserve"> увеличивать и сбрасывать нагрузку</w:t>
      </w:r>
      <w:r w:rsidR="0060699B">
        <w:rPr>
          <w:rFonts w:ascii="Times New Roman" w:hAnsi="Times New Roman" w:cs="Times New Roman"/>
          <w:sz w:val="24"/>
          <w:szCs w:val="24"/>
        </w:rPr>
        <w:t>, обеспечиваю</w:t>
      </w:r>
      <w:r w:rsidR="00957A73" w:rsidRPr="005D1EF4">
        <w:rPr>
          <w:rFonts w:ascii="Times New Roman" w:hAnsi="Times New Roman" w:cs="Times New Roman"/>
          <w:sz w:val="24"/>
          <w:szCs w:val="24"/>
        </w:rPr>
        <w:t xml:space="preserve">т гибкость </w:t>
      </w:r>
      <w:r w:rsidR="004824FA">
        <w:rPr>
          <w:rFonts w:ascii="Times New Roman" w:hAnsi="Times New Roman" w:cs="Times New Roman"/>
          <w:sz w:val="24"/>
          <w:szCs w:val="24"/>
        </w:rPr>
        <w:t>ЭЭС</w:t>
      </w:r>
      <w:r w:rsidR="0060699B">
        <w:rPr>
          <w:rFonts w:ascii="Times New Roman" w:hAnsi="Times New Roman" w:cs="Times New Roman"/>
          <w:sz w:val="24"/>
          <w:szCs w:val="24"/>
        </w:rPr>
        <w:t xml:space="preserve"> на стороне генерации</w:t>
      </w:r>
      <w:r w:rsidR="00957A73">
        <w:rPr>
          <w:rFonts w:ascii="Times New Roman" w:hAnsi="Times New Roman" w:cs="Times New Roman"/>
          <w:sz w:val="24"/>
          <w:szCs w:val="24"/>
        </w:rPr>
        <w:t xml:space="preserve">. </w:t>
      </w:r>
      <w:r w:rsidR="007069E7">
        <w:rPr>
          <w:rFonts w:ascii="Times New Roman" w:hAnsi="Times New Roman" w:cs="Times New Roman"/>
          <w:sz w:val="24"/>
          <w:szCs w:val="24"/>
        </w:rPr>
        <w:t>Разнообразные механизмы</w:t>
      </w:r>
      <w:r w:rsidR="00957A73">
        <w:rPr>
          <w:rFonts w:ascii="Times New Roman" w:hAnsi="Times New Roman" w:cs="Times New Roman"/>
          <w:sz w:val="24"/>
          <w:szCs w:val="24"/>
        </w:rPr>
        <w:t xml:space="preserve"> управления нагрузкой</w:t>
      </w:r>
      <w:r w:rsidR="007069E7">
        <w:rPr>
          <w:rFonts w:ascii="Times New Roman" w:hAnsi="Times New Roman" w:cs="Times New Roman"/>
          <w:sz w:val="24"/>
          <w:szCs w:val="24"/>
        </w:rPr>
        <w:t xml:space="preserve">, появившиеся в результате развития новых технологий, </w:t>
      </w:r>
      <w:r w:rsidR="00F402C2">
        <w:rPr>
          <w:rFonts w:ascii="Times New Roman" w:hAnsi="Times New Roman" w:cs="Times New Roman"/>
          <w:sz w:val="24"/>
          <w:szCs w:val="24"/>
        </w:rPr>
        <w:t>решают проблему гибкос</w:t>
      </w:r>
      <w:r w:rsidR="0060699B">
        <w:rPr>
          <w:rFonts w:ascii="Times New Roman" w:hAnsi="Times New Roman" w:cs="Times New Roman"/>
          <w:sz w:val="24"/>
          <w:szCs w:val="24"/>
        </w:rPr>
        <w:t>т</w:t>
      </w:r>
      <w:r w:rsidR="00F402C2">
        <w:rPr>
          <w:rFonts w:ascii="Times New Roman" w:hAnsi="Times New Roman" w:cs="Times New Roman"/>
          <w:sz w:val="24"/>
          <w:szCs w:val="24"/>
        </w:rPr>
        <w:t>и</w:t>
      </w:r>
      <w:r w:rsidR="0060699B">
        <w:rPr>
          <w:rFonts w:ascii="Times New Roman" w:hAnsi="Times New Roman" w:cs="Times New Roman"/>
          <w:sz w:val="24"/>
          <w:szCs w:val="24"/>
        </w:rPr>
        <w:t xml:space="preserve"> </w:t>
      </w:r>
      <w:r w:rsidR="00957A73">
        <w:rPr>
          <w:rFonts w:ascii="Times New Roman" w:hAnsi="Times New Roman" w:cs="Times New Roman"/>
          <w:sz w:val="24"/>
          <w:szCs w:val="24"/>
        </w:rPr>
        <w:t>на стороне потребителей.</w:t>
      </w:r>
      <w:r w:rsidR="007069E7">
        <w:rPr>
          <w:rFonts w:ascii="Times New Roman" w:hAnsi="Times New Roman" w:cs="Times New Roman"/>
          <w:sz w:val="24"/>
          <w:szCs w:val="24"/>
        </w:rPr>
        <w:t xml:space="preserve"> </w:t>
      </w:r>
      <w:r w:rsidR="008D33DD">
        <w:rPr>
          <w:rFonts w:ascii="Times New Roman" w:hAnsi="Times New Roman" w:cs="Times New Roman"/>
          <w:sz w:val="24"/>
          <w:szCs w:val="24"/>
        </w:rPr>
        <w:t xml:space="preserve">С </w:t>
      </w:r>
      <w:r w:rsidR="003A1AAD">
        <w:rPr>
          <w:rFonts w:ascii="Times New Roman" w:hAnsi="Times New Roman" w:cs="Times New Roman"/>
          <w:sz w:val="24"/>
          <w:szCs w:val="24"/>
        </w:rPr>
        <w:t>внедрением</w:t>
      </w:r>
      <w:r w:rsidR="008D33DD">
        <w:rPr>
          <w:rFonts w:ascii="Times New Roman" w:hAnsi="Times New Roman" w:cs="Times New Roman"/>
          <w:sz w:val="24"/>
          <w:szCs w:val="24"/>
        </w:rPr>
        <w:t xml:space="preserve"> </w:t>
      </w:r>
      <w:r w:rsidR="003A1AAD">
        <w:rPr>
          <w:rFonts w:ascii="Times New Roman" w:hAnsi="Times New Roman" w:cs="Times New Roman"/>
          <w:sz w:val="24"/>
          <w:szCs w:val="24"/>
        </w:rPr>
        <w:t>ветровых и солнечных электростанций</w:t>
      </w:r>
      <w:r w:rsidR="008D33DD">
        <w:rPr>
          <w:rFonts w:ascii="Times New Roman" w:hAnsi="Times New Roman" w:cs="Times New Roman"/>
          <w:sz w:val="24"/>
          <w:szCs w:val="24"/>
        </w:rPr>
        <w:t xml:space="preserve"> важными средствами обеспечения гибкости </w:t>
      </w:r>
      <w:r w:rsidR="003A1AAD">
        <w:rPr>
          <w:rFonts w:ascii="Times New Roman" w:hAnsi="Times New Roman" w:cs="Times New Roman"/>
          <w:sz w:val="24"/>
          <w:szCs w:val="24"/>
        </w:rPr>
        <w:t>становятс</w:t>
      </w:r>
      <w:r w:rsidR="008D33DD">
        <w:rPr>
          <w:rFonts w:ascii="Times New Roman" w:hAnsi="Times New Roman" w:cs="Times New Roman"/>
          <w:sz w:val="24"/>
          <w:szCs w:val="24"/>
        </w:rPr>
        <w:t>я накопители энергии.</w:t>
      </w:r>
    </w:p>
    <w:p w:rsidR="005D1EF4" w:rsidRPr="005D1EF4" w:rsidRDefault="005D1EF4" w:rsidP="0094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EF4">
        <w:rPr>
          <w:rFonts w:ascii="Times New Roman" w:hAnsi="Times New Roman" w:cs="Times New Roman"/>
          <w:sz w:val="24"/>
          <w:szCs w:val="24"/>
        </w:rPr>
        <w:t>Условием обеспечения гибкости ЭЭС является наличие резервов мощности в системе.</w:t>
      </w:r>
      <w:r w:rsidR="007A3A7A">
        <w:rPr>
          <w:rFonts w:ascii="Times New Roman" w:hAnsi="Times New Roman" w:cs="Times New Roman"/>
          <w:sz w:val="24"/>
          <w:szCs w:val="24"/>
        </w:rPr>
        <w:t xml:space="preserve"> </w:t>
      </w:r>
      <w:r w:rsidRPr="005D1EF4">
        <w:rPr>
          <w:rFonts w:ascii="Times New Roman" w:hAnsi="Times New Roman" w:cs="Times New Roman"/>
          <w:sz w:val="24"/>
          <w:szCs w:val="24"/>
        </w:rPr>
        <w:t>В качестве резервов мощности или источников гибкости рассматриваются</w:t>
      </w:r>
      <w:r w:rsidR="00F518F4">
        <w:rPr>
          <w:rFonts w:ascii="Times New Roman" w:hAnsi="Times New Roman" w:cs="Times New Roman"/>
          <w:sz w:val="24"/>
          <w:szCs w:val="24"/>
        </w:rPr>
        <w:t>:</w:t>
      </w:r>
    </w:p>
    <w:p w:rsidR="005D1EF4" w:rsidRPr="00F13EE5" w:rsidRDefault="005D1EF4" w:rsidP="0094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EF4">
        <w:rPr>
          <w:rFonts w:ascii="Times New Roman" w:hAnsi="Times New Roman" w:cs="Times New Roman"/>
          <w:sz w:val="24"/>
          <w:szCs w:val="24"/>
        </w:rPr>
        <w:t>1. Резерв</w:t>
      </w:r>
      <w:r w:rsidR="002D093B">
        <w:rPr>
          <w:rFonts w:ascii="Times New Roman" w:hAnsi="Times New Roman" w:cs="Times New Roman"/>
          <w:sz w:val="24"/>
          <w:szCs w:val="24"/>
        </w:rPr>
        <w:t>ная мощность</w:t>
      </w:r>
      <w:r w:rsidRPr="005D1EF4">
        <w:rPr>
          <w:rFonts w:ascii="Times New Roman" w:hAnsi="Times New Roman" w:cs="Times New Roman"/>
          <w:sz w:val="24"/>
          <w:szCs w:val="24"/>
        </w:rPr>
        <w:t xml:space="preserve"> генерации</w:t>
      </w:r>
      <w:r w:rsidR="00F13EE5" w:rsidRPr="00E555B2">
        <w:rPr>
          <w:rStyle w:val="tlid-translation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1102611985"/>
          <w:citation/>
        </w:sdtPr>
        <w:sdtEndPr/>
        <w:sdtContent>
          <w:r w:rsidR="00F13EE5" w:rsidRPr="00E555B2">
            <w:rPr>
              <w:rFonts w:ascii="Times New Roman" w:hAnsi="Times New Roman" w:cs="Times New Roman"/>
              <w:lang w:val="en-US"/>
            </w:rPr>
            <w:fldChar w:fldCharType="begin"/>
          </w:r>
          <w:r w:rsidR="00F13EE5" w:rsidRPr="00E555B2">
            <w:rPr>
              <w:rFonts w:ascii="Times New Roman" w:hAnsi="Times New Roman" w:cs="Times New Roman"/>
            </w:rPr>
            <w:instrText xml:space="preserve"> </w:instrText>
          </w:r>
          <w:r w:rsidR="00F13EE5" w:rsidRPr="00E555B2">
            <w:rPr>
              <w:rFonts w:ascii="Times New Roman" w:hAnsi="Times New Roman" w:cs="Times New Roman"/>
              <w:lang w:val="en-US"/>
            </w:rPr>
            <w:instrText>CITATION</w:instrText>
          </w:r>
          <w:r w:rsidR="00F13EE5" w:rsidRPr="00E555B2">
            <w:rPr>
              <w:rFonts w:ascii="Times New Roman" w:hAnsi="Times New Roman" w:cs="Times New Roman"/>
            </w:rPr>
            <w:instrText xml:space="preserve"> </w:instrText>
          </w:r>
          <w:r w:rsidR="00F13EE5" w:rsidRPr="00E555B2">
            <w:rPr>
              <w:rFonts w:ascii="Times New Roman" w:hAnsi="Times New Roman" w:cs="Times New Roman"/>
              <w:lang w:val="en-US"/>
            </w:rPr>
            <w:instrText>Eri</w:instrText>
          </w:r>
          <w:r w:rsidR="00F13EE5" w:rsidRPr="00E555B2">
            <w:rPr>
              <w:rFonts w:ascii="Times New Roman" w:hAnsi="Times New Roman" w:cs="Times New Roman"/>
            </w:rPr>
            <w:instrText>11 \</w:instrText>
          </w:r>
          <w:r w:rsidR="00F13EE5" w:rsidRPr="00E555B2">
            <w:rPr>
              <w:rFonts w:ascii="Times New Roman" w:hAnsi="Times New Roman" w:cs="Times New Roman"/>
              <w:lang w:val="en-US"/>
            </w:rPr>
            <w:instrText>l</w:instrText>
          </w:r>
          <w:r w:rsidR="00F13EE5" w:rsidRPr="00E555B2">
            <w:rPr>
              <w:rFonts w:ascii="Times New Roman" w:hAnsi="Times New Roman" w:cs="Times New Roman"/>
            </w:rPr>
            <w:instrText xml:space="preserve"> 1033 </w:instrText>
          </w:r>
          <w:r w:rsidR="00F13EE5" w:rsidRPr="00E555B2">
            <w:rPr>
              <w:rFonts w:ascii="Times New Roman" w:hAnsi="Times New Roman" w:cs="Times New Roman"/>
              <w:lang w:val="en-US"/>
            </w:rPr>
            <w:fldChar w:fldCharType="separate"/>
          </w:r>
          <w:r w:rsidR="003D0061" w:rsidRPr="003D0061">
            <w:rPr>
              <w:rFonts w:ascii="Times New Roman" w:hAnsi="Times New Roman" w:cs="Times New Roman"/>
              <w:noProof/>
            </w:rPr>
            <w:t>[2]</w:t>
          </w:r>
          <w:r w:rsidR="00F13EE5" w:rsidRPr="00E555B2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F13EE5">
        <w:rPr>
          <w:rStyle w:val="tlid-translation"/>
          <w:rFonts w:ascii="Times New Roman" w:hAnsi="Times New Roman" w:cs="Times New Roman"/>
        </w:rPr>
        <w:t>,</w:t>
      </w:r>
      <w:r w:rsidR="00F13EE5" w:rsidRPr="00E555B2">
        <w:rPr>
          <w:rStyle w:val="tlid-translation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-1932275543"/>
          <w:citation/>
        </w:sdtPr>
        <w:sdtEndPr/>
        <w:sdtContent>
          <w:r w:rsidR="00F13EE5" w:rsidRPr="00E555B2">
            <w:rPr>
              <w:rFonts w:ascii="Times New Roman" w:hAnsi="Times New Roman" w:cs="Times New Roman"/>
              <w:lang w:val="en-US"/>
            </w:rPr>
            <w:fldChar w:fldCharType="begin"/>
          </w:r>
          <w:r w:rsidR="00F13EE5" w:rsidRPr="00E555B2">
            <w:rPr>
              <w:rFonts w:ascii="Times New Roman" w:hAnsi="Times New Roman" w:cs="Times New Roman"/>
              <w:lang w:val="en-US"/>
            </w:rPr>
            <w:instrText>CITATION</w:instrText>
          </w:r>
          <w:r w:rsidR="00F13EE5" w:rsidRPr="00E555B2">
            <w:rPr>
              <w:rFonts w:ascii="Times New Roman" w:hAnsi="Times New Roman" w:cs="Times New Roman"/>
            </w:rPr>
            <w:instrText xml:space="preserve"> </w:instrText>
          </w:r>
          <w:r w:rsidR="00F13EE5" w:rsidRPr="00E555B2">
            <w:rPr>
              <w:rFonts w:ascii="Times New Roman" w:hAnsi="Times New Roman" w:cs="Times New Roman"/>
              <w:lang w:val="en-US"/>
            </w:rPr>
            <w:instrText>Yan</w:instrText>
          </w:r>
          <w:r w:rsidR="00F13EE5" w:rsidRPr="00E555B2">
            <w:rPr>
              <w:rFonts w:ascii="Times New Roman" w:hAnsi="Times New Roman" w:cs="Times New Roman"/>
            </w:rPr>
            <w:instrText>07 \</w:instrText>
          </w:r>
          <w:r w:rsidR="00F13EE5" w:rsidRPr="00E555B2">
            <w:rPr>
              <w:rFonts w:ascii="Times New Roman" w:hAnsi="Times New Roman" w:cs="Times New Roman"/>
              <w:lang w:val="en-US"/>
            </w:rPr>
            <w:instrText>l</w:instrText>
          </w:r>
          <w:r w:rsidR="00F13EE5" w:rsidRPr="00E555B2">
            <w:rPr>
              <w:rFonts w:ascii="Times New Roman" w:hAnsi="Times New Roman" w:cs="Times New Roman"/>
            </w:rPr>
            <w:instrText xml:space="preserve"> 1033 </w:instrText>
          </w:r>
          <w:r w:rsidR="00F13EE5" w:rsidRPr="00E555B2">
            <w:rPr>
              <w:rFonts w:ascii="Times New Roman" w:hAnsi="Times New Roman" w:cs="Times New Roman"/>
              <w:lang w:val="en-US"/>
            </w:rPr>
            <w:fldChar w:fldCharType="separate"/>
          </w:r>
          <w:r w:rsidR="003D0061" w:rsidRPr="003D0061">
            <w:rPr>
              <w:rFonts w:ascii="Times New Roman" w:hAnsi="Times New Roman" w:cs="Times New Roman"/>
              <w:noProof/>
            </w:rPr>
            <w:t>[3]</w:t>
          </w:r>
          <w:r w:rsidR="00F13EE5" w:rsidRPr="00E555B2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F13EE5">
        <w:rPr>
          <w:rStyle w:val="tlid-translation"/>
          <w:rFonts w:ascii="Times New Roman" w:hAnsi="Times New Roman" w:cs="Times New Roman"/>
        </w:rPr>
        <w:t>,</w:t>
      </w:r>
      <w:r w:rsidR="00F13EE5" w:rsidRPr="00E555B2">
        <w:rPr>
          <w:rStyle w:val="tlid-translation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lang w:val="en-US"/>
          </w:rPr>
          <w:id w:val="1382295560"/>
          <w:citation/>
        </w:sdtPr>
        <w:sdtEndPr/>
        <w:sdtContent>
          <w:r w:rsidR="00F13EE5" w:rsidRPr="00E555B2">
            <w:rPr>
              <w:rFonts w:ascii="Times New Roman" w:hAnsi="Times New Roman" w:cs="Times New Roman"/>
              <w:lang w:val="en-US"/>
            </w:rPr>
            <w:fldChar w:fldCharType="begin"/>
          </w:r>
          <w:r w:rsidR="00F13EE5" w:rsidRPr="00E555B2">
            <w:rPr>
              <w:rFonts w:ascii="Times New Roman" w:hAnsi="Times New Roman" w:cs="Times New Roman"/>
            </w:rPr>
            <w:instrText xml:space="preserve"> </w:instrText>
          </w:r>
          <w:r w:rsidR="00F13EE5" w:rsidRPr="00E555B2">
            <w:rPr>
              <w:rFonts w:ascii="Times New Roman" w:hAnsi="Times New Roman" w:cs="Times New Roman"/>
              <w:lang w:val="en-US"/>
            </w:rPr>
            <w:instrText>CITATION</w:instrText>
          </w:r>
          <w:r w:rsidR="00F13EE5" w:rsidRPr="00E555B2">
            <w:rPr>
              <w:rFonts w:ascii="Times New Roman" w:hAnsi="Times New Roman" w:cs="Times New Roman"/>
            </w:rPr>
            <w:instrText xml:space="preserve"> Мет \</w:instrText>
          </w:r>
          <w:r w:rsidR="00F13EE5" w:rsidRPr="00E555B2">
            <w:rPr>
              <w:rFonts w:ascii="Times New Roman" w:hAnsi="Times New Roman" w:cs="Times New Roman"/>
              <w:lang w:val="en-US"/>
            </w:rPr>
            <w:instrText>l</w:instrText>
          </w:r>
          <w:r w:rsidR="00F13EE5" w:rsidRPr="00E555B2">
            <w:rPr>
              <w:rFonts w:ascii="Times New Roman" w:hAnsi="Times New Roman" w:cs="Times New Roman"/>
            </w:rPr>
            <w:instrText xml:space="preserve"> 1033 </w:instrText>
          </w:r>
          <w:r w:rsidR="00F13EE5" w:rsidRPr="00E555B2">
            <w:rPr>
              <w:rFonts w:ascii="Times New Roman" w:hAnsi="Times New Roman" w:cs="Times New Roman"/>
              <w:lang w:val="en-US"/>
            </w:rPr>
            <w:fldChar w:fldCharType="separate"/>
          </w:r>
          <w:r w:rsidR="003D0061" w:rsidRPr="003D0061">
            <w:rPr>
              <w:rFonts w:ascii="Times New Roman" w:hAnsi="Times New Roman" w:cs="Times New Roman"/>
              <w:noProof/>
            </w:rPr>
            <w:t>[4]</w:t>
          </w:r>
          <w:r w:rsidR="00F13EE5" w:rsidRPr="00E555B2">
            <w:rPr>
              <w:rFonts w:ascii="Times New Roman" w:hAnsi="Times New Roman" w:cs="Times New Roman"/>
              <w:lang w:val="en-US"/>
            </w:rPr>
            <w:fldChar w:fldCharType="end"/>
          </w:r>
        </w:sdtContent>
      </w:sdt>
      <w:r w:rsidR="00F13EE5">
        <w:rPr>
          <w:rFonts w:ascii="Times New Roman" w:hAnsi="Times New Roman" w:cs="Times New Roman"/>
        </w:rPr>
        <w:t>.</w:t>
      </w:r>
    </w:p>
    <w:p w:rsidR="005D1EF4" w:rsidRPr="005D1EF4" w:rsidRDefault="005D1EF4" w:rsidP="0094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EF4">
        <w:rPr>
          <w:rFonts w:ascii="Times New Roman" w:hAnsi="Times New Roman" w:cs="Times New Roman"/>
          <w:sz w:val="24"/>
          <w:szCs w:val="24"/>
        </w:rPr>
        <w:t>2. Управление спросом</w:t>
      </w:r>
      <w:r w:rsidR="00F13EE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20907570"/>
          <w:citation/>
        </w:sdtPr>
        <w:sdtEndPr/>
        <w:sdtContent>
          <w:r w:rsidR="00F13EE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13EE5">
            <w:rPr>
              <w:rFonts w:ascii="Times New Roman" w:hAnsi="Times New Roman" w:cs="Times New Roman"/>
              <w:sz w:val="24"/>
              <w:szCs w:val="24"/>
            </w:rPr>
            <w:instrText xml:space="preserve">CITATION Вла \l 1049 </w:instrText>
          </w:r>
          <w:r w:rsidR="00F13EE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D0061" w:rsidRPr="003D0061">
            <w:rPr>
              <w:rFonts w:ascii="Times New Roman" w:hAnsi="Times New Roman" w:cs="Times New Roman"/>
              <w:noProof/>
              <w:sz w:val="24"/>
              <w:szCs w:val="24"/>
            </w:rPr>
            <w:t>[5]</w:t>
          </w:r>
          <w:r w:rsidR="00F13EE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D1EF4">
        <w:rPr>
          <w:rFonts w:ascii="Times New Roman" w:hAnsi="Times New Roman" w:cs="Times New Roman"/>
          <w:sz w:val="24"/>
          <w:szCs w:val="24"/>
        </w:rPr>
        <w:t>.</w:t>
      </w:r>
    </w:p>
    <w:p w:rsidR="005D1EF4" w:rsidRPr="005D1EF4" w:rsidRDefault="005D1EF4" w:rsidP="0094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EF4">
        <w:rPr>
          <w:rFonts w:ascii="Times New Roman" w:hAnsi="Times New Roman" w:cs="Times New Roman"/>
          <w:sz w:val="24"/>
          <w:szCs w:val="24"/>
        </w:rPr>
        <w:t xml:space="preserve">3. Накопители энергии </w:t>
      </w:r>
      <w:sdt>
        <w:sdtPr>
          <w:rPr>
            <w:rFonts w:ascii="Times New Roman" w:hAnsi="Times New Roman" w:cs="Times New Roman"/>
            <w:sz w:val="24"/>
            <w:szCs w:val="24"/>
          </w:rPr>
          <w:id w:val="163519837"/>
          <w:citation/>
        </w:sdtPr>
        <w:sdtEndPr/>
        <w:sdtContent>
          <w:r w:rsidR="00F9126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91263">
            <w:rPr>
              <w:rFonts w:ascii="Times New Roman" w:hAnsi="Times New Roman" w:cs="Times New Roman"/>
              <w:sz w:val="24"/>
              <w:szCs w:val="24"/>
            </w:rPr>
            <w:instrText xml:space="preserve"> CITATION htt \l 1049 </w:instrText>
          </w:r>
          <w:r w:rsidR="00F9126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D0061" w:rsidRPr="003D0061">
            <w:rPr>
              <w:rFonts w:ascii="Times New Roman" w:hAnsi="Times New Roman" w:cs="Times New Roman"/>
              <w:noProof/>
              <w:sz w:val="24"/>
              <w:szCs w:val="24"/>
            </w:rPr>
            <w:t>[6]</w:t>
          </w:r>
          <w:r w:rsidR="00F9126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518F4">
        <w:rPr>
          <w:rFonts w:ascii="Times New Roman" w:hAnsi="Times New Roman" w:cs="Times New Roman"/>
          <w:sz w:val="24"/>
          <w:szCs w:val="24"/>
        </w:rPr>
        <w:t>.</w:t>
      </w:r>
    </w:p>
    <w:p w:rsidR="005D1EF4" w:rsidRPr="005D1EF4" w:rsidRDefault="00837B5B" w:rsidP="0094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</w:t>
      </w:r>
      <w:r w:rsidR="00937015">
        <w:rPr>
          <w:rFonts w:ascii="Times New Roman" w:hAnsi="Times New Roman" w:cs="Times New Roman"/>
          <w:sz w:val="24"/>
          <w:szCs w:val="24"/>
        </w:rPr>
        <w:t xml:space="preserve"> наличия, отсутствия, запас</w:t>
      </w:r>
      <w:r w:rsidR="00072AA1">
        <w:rPr>
          <w:rFonts w:ascii="Times New Roman" w:hAnsi="Times New Roman" w:cs="Times New Roman"/>
          <w:sz w:val="24"/>
          <w:szCs w:val="24"/>
        </w:rPr>
        <w:t>а гибкости в энергосистеме решаю</w:t>
      </w:r>
      <w:r w:rsidR="00937015">
        <w:rPr>
          <w:rFonts w:ascii="Times New Roman" w:hAnsi="Times New Roman" w:cs="Times New Roman"/>
          <w:sz w:val="24"/>
          <w:szCs w:val="24"/>
        </w:rPr>
        <w:t xml:space="preserve">тся исследователями многих стран. </w:t>
      </w:r>
      <w:r w:rsidR="005D1EF4" w:rsidRPr="005D1EF4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A57337">
        <w:rPr>
          <w:rFonts w:ascii="Times New Roman" w:hAnsi="Times New Roman" w:cs="Times New Roman"/>
          <w:sz w:val="24"/>
          <w:szCs w:val="24"/>
        </w:rPr>
        <w:t>существуют</w:t>
      </w:r>
      <w:r w:rsidR="00937015">
        <w:rPr>
          <w:rFonts w:ascii="Times New Roman" w:hAnsi="Times New Roman" w:cs="Times New Roman"/>
          <w:sz w:val="24"/>
          <w:szCs w:val="24"/>
        </w:rPr>
        <w:t xml:space="preserve"> </w:t>
      </w:r>
      <w:r w:rsidR="00937015" w:rsidRPr="005D1EF4">
        <w:rPr>
          <w:rFonts w:ascii="Times New Roman" w:hAnsi="Times New Roman" w:cs="Times New Roman"/>
          <w:sz w:val="24"/>
          <w:szCs w:val="24"/>
        </w:rPr>
        <w:t>вероятностные и детерминистические</w:t>
      </w:r>
      <w:r w:rsidR="005D1EF4" w:rsidRPr="005D1EF4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937015">
        <w:rPr>
          <w:rFonts w:ascii="Times New Roman" w:hAnsi="Times New Roman" w:cs="Times New Roman"/>
          <w:sz w:val="24"/>
          <w:szCs w:val="24"/>
        </w:rPr>
        <w:t>ы</w:t>
      </w:r>
      <w:r w:rsidR="005D1EF4" w:rsidRPr="005D1EF4">
        <w:rPr>
          <w:rFonts w:ascii="Times New Roman" w:hAnsi="Times New Roman" w:cs="Times New Roman"/>
          <w:sz w:val="24"/>
          <w:szCs w:val="24"/>
        </w:rPr>
        <w:t xml:space="preserve"> </w:t>
      </w:r>
      <w:r w:rsidR="00937015">
        <w:rPr>
          <w:rFonts w:ascii="Times New Roman" w:hAnsi="Times New Roman" w:cs="Times New Roman"/>
          <w:sz w:val="24"/>
          <w:szCs w:val="24"/>
        </w:rPr>
        <w:t>определения</w:t>
      </w:r>
      <w:r w:rsidR="005D1EF4" w:rsidRPr="005D1EF4">
        <w:rPr>
          <w:rFonts w:ascii="Times New Roman" w:hAnsi="Times New Roman" w:cs="Times New Roman"/>
          <w:sz w:val="24"/>
          <w:szCs w:val="24"/>
        </w:rPr>
        <w:t xml:space="preserve"> гибкости. </w:t>
      </w:r>
    </w:p>
    <w:p w:rsidR="00DA60ED" w:rsidRDefault="005D1EF4" w:rsidP="009455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D1EF4">
        <w:rPr>
          <w:rFonts w:ascii="Times New Roman" w:hAnsi="Times New Roman" w:cs="Times New Roman"/>
          <w:sz w:val="24"/>
          <w:szCs w:val="24"/>
        </w:rPr>
        <w:t>В данной статье представлены детерминистические методы</w:t>
      </w:r>
      <w:r w:rsidR="004E5BE0">
        <w:rPr>
          <w:rFonts w:ascii="Times New Roman" w:hAnsi="Times New Roman" w:cs="Times New Roman"/>
          <w:sz w:val="24"/>
          <w:szCs w:val="24"/>
        </w:rPr>
        <w:t>, в</w:t>
      </w:r>
      <w:r w:rsidR="006102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основу </w:t>
      </w:r>
      <w:r w:rsidR="004E5B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которых</w:t>
      </w:r>
      <w:r w:rsidR="006102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положено утверждение </w:t>
      </w:r>
      <w:r w:rsidR="007D2F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 том, </w:t>
      </w:r>
      <w:r w:rsidR="004972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 ЭЭС обладает гибкостью если</w:t>
      </w:r>
      <w:r w:rsidR="007D2F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соблюд</w:t>
      </w:r>
      <w:r w:rsidR="004972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ается</w:t>
      </w:r>
      <w:r w:rsidR="007D2F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баланс мощности на </w:t>
      </w:r>
      <w:r w:rsidR="006102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момент окончания рассматриваемого горизонта </w:t>
      </w:r>
      <w:r w:rsidR="00E80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врем</w:t>
      </w:r>
      <w:r w:rsidR="006102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ени</w:t>
      </w:r>
      <w:r w:rsidR="007D2F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663D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102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Увеличение нагрузки приводит к уменьшению гибкости системы, </w:t>
      </w:r>
      <w:r w:rsidR="004972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поэтому одним из ключевых моментов </w:t>
      </w:r>
      <w:r w:rsidR="00417B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при анализе гибкости ЭЭС </w:t>
      </w:r>
      <w:r w:rsidR="004972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является наличие информации</w:t>
      </w:r>
      <w:r w:rsidR="006102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 максимальн</w:t>
      </w:r>
      <w:r w:rsidR="00775E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возможных</w:t>
      </w:r>
      <w:r w:rsidR="006102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нагрузках</w:t>
      </w:r>
      <w:r w:rsidR="00775E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6102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57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Разработанные </w:t>
      </w:r>
      <w:r w:rsidR="004F5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методы</w:t>
      </w:r>
      <w:r w:rsidR="00A57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нацелены на</w:t>
      </w:r>
      <w:r w:rsidR="004F5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63D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определ</w:t>
      </w:r>
      <w:r w:rsidR="003817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="004F5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</w:t>
      </w:r>
      <w:r w:rsidR="00A57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="00DA60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F5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сочетания</w:t>
      </w:r>
      <w:r w:rsidR="00DA60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максимальных нагрузок</w:t>
      </w:r>
      <w:r w:rsidR="004F5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исследуемых узлах</w:t>
      </w:r>
      <w:r w:rsidR="00DA60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при </w:t>
      </w:r>
      <w:r w:rsidR="000467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малом превышении </w:t>
      </w:r>
      <w:r w:rsidR="00DA60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которых </w:t>
      </w:r>
      <w:r w:rsidR="000467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нарушается баланс мощности</w:t>
      </w:r>
      <w:r w:rsidR="003E02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17B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F56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800DE" w:rsidRDefault="00E800DE" w:rsidP="009455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Целевая функция</w:t>
      </w:r>
      <w:r w:rsidR="009E51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максимум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суммы разностей между предсказанной и смоделированной нагрузками </w:t>
      </w:r>
      <w:r w:rsidR="00120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узлах с неопределенностью на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момент</w:t>
      </w:r>
      <w:r w:rsidR="00120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окончания заданного отрезка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времени</w:t>
      </w:r>
      <w:r w:rsidR="009E51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записывается следующим образом:</w:t>
      </w:r>
    </w:p>
    <w:p w:rsidR="00E800DE" w:rsidRDefault="00E800DE" w:rsidP="00567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39D8">
        <w:rPr>
          <w:position w:val="-28"/>
          <w:lang w:val="en-US"/>
        </w:rPr>
        <w:object w:dxaOrig="22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11.75pt;height:35.25pt" o:ole="">
            <v:imagedata r:id="rId6" o:title=""/>
          </v:shape>
          <o:OLEObject Type="Embed" ProgID="Equation.3" ShapeID="_x0000_i1048" DrawAspect="Content" ObjectID="_1651651358" r:id="rId7"/>
        </w:object>
      </w:r>
      <w:r w:rsidR="009012AE">
        <w:t>.</w:t>
      </w:r>
      <w:r w:rsidRPr="00310C3B">
        <w:tab/>
      </w:r>
      <w:r w:rsidRPr="00310C3B">
        <w:tab/>
      </w:r>
      <w:r w:rsidRPr="00310C3B">
        <w:tab/>
      </w:r>
      <w:r w:rsidRPr="00310C3B">
        <w:tab/>
      </w:r>
      <w:r w:rsidRPr="00310C3B"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BEF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00DE" w:rsidRDefault="00E800DE" w:rsidP="009455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E027C" w:rsidRDefault="003E027C" w:rsidP="0094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6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наглядности представления </w:t>
      </w:r>
      <w:r w:rsidR="00E80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ограничений, </w:t>
      </w:r>
      <w:r w:rsidR="000536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используемых</w:t>
      </w:r>
      <w:r w:rsidR="00E80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при решении данной задачи, </w:t>
      </w:r>
      <w:r>
        <w:rPr>
          <w:rFonts w:ascii="Times New Roman" w:hAnsi="Times New Roman" w:cs="Times New Roman"/>
          <w:sz w:val="24"/>
          <w:szCs w:val="24"/>
        </w:rPr>
        <w:t>все узлы разбиваются на три вида:</w:t>
      </w:r>
    </w:p>
    <w:p w:rsidR="003E027C" w:rsidRDefault="00AE5BEF" w:rsidP="005673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неуправляемые узлы</w:t>
      </w:r>
      <w:r w:rsidR="0056738C">
        <w:rPr>
          <w:rFonts w:ascii="Times New Roman" w:hAnsi="Times New Roman" w:cs="Times New Roman"/>
          <w:sz w:val="24"/>
          <w:szCs w:val="24"/>
        </w:rPr>
        <w:t>. Г</w:t>
      </w:r>
      <w:r w:rsidR="0056738C" w:rsidRPr="0036288B">
        <w:rPr>
          <w:rFonts w:ascii="Times New Roman" w:hAnsi="Times New Roman" w:cs="Times New Roman"/>
          <w:sz w:val="24"/>
          <w:szCs w:val="24"/>
        </w:rPr>
        <w:t>енераторные узлы, где управляющие воздействия не выполняются или нагрузочные узлы, в которых отсутствует неопределенность</w:t>
      </w:r>
      <w:r w:rsidR="0056738C">
        <w:rPr>
          <w:rFonts w:ascii="Times New Roman" w:hAnsi="Times New Roman" w:cs="Times New Roman"/>
          <w:sz w:val="24"/>
          <w:szCs w:val="24"/>
        </w:rPr>
        <w:t xml:space="preserve"> </w:t>
      </w:r>
      <w:r w:rsidR="0056738C" w:rsidRPr="00FF711D">
        <w:rPr>
          <w:position w:val="-14"/>
          <w:lang w:val="en-US"/>
        </w:rPr>
        <w:object w:dxaOrig="680" w:dyaOrig="380">
          <v:shape id="_x0000_i1270" type="#_x0000_t75" style="width:34.5pt;height:19.5pt" o:ole="">
            <v:imagedata r:id="rId8" o:title=""/>
          </v:shape>
          <o:OLEObject Type="Embed" ProgID="Equation.3" ShapeID="_x0000_i1270" DrawAspect="Content" ObjectID="_1651651359" r:id="rId9"/>
        </w:object>
      </w:r>
      <w:r w:rsidR="003E027C" w:rsidRPr="0036288B">
        <w:rPr>
          <w:rFonts w:ascii="Times New Roman" w:hAnsi="Times New Roman" w:cs="Times New Roman"/>
          <w:sz w:val="24"/>
          <w:szCs w:val="24"/>
        </w:rPr>
        <w:t>;</w:t>
      </w:r>
    </w:p>
    <w:p w:rsidR="003E027C" w:rsidRPr="0036288B" w:rsidRDefault="003D0061" w:rsidP="005673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управляемые узлы</w:t>
      </w:r>
      <w:r w:rsidR="0056738C">
        <w:rPr>
          <w:rFonts w:ascii="Times New Roman" w:hAnsi="Times New Roman" w:cs="Times New Roman"/>
          <w:sz w:val="24"/>
          <w:szCs w:val="24"/>
        </w:rPr>
        <w:t>. Г</w:t>
      </w:r>
      <w:r w:rsidR="0056738C" w:rsidRPr="0036288B">
        <w:rPr>
          <w:rFonts w:ascii="Times New Roman" w:hAnsi="Times New Roman" w:cs="Times New Roman"/>
          <w:sz w:val="24"/>
          <w:szCs w:val="24"/>
        </w:rPr>
        <w:t>енераторные узлы, где выполняются управляющие воздействия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27C" w:rsidRPr="00FF711D">
        <w:rPr>
          <w:position w:val="-14"/>
          <w:lang w:val="en-US"/>
        </w:rPr>
        <w:object w:dxaOrig="420" w:dyaOrig="380">
          <v:shape id="_x0000_i1050" type="#_x0000_t75" style="width:21pt;height:19.5pt" o:ole="">
            <v:imagedata r:id="rId10" o:title=""/>
          </v:shape>
          <o:OLEObject Type="Embed" ProgID="Equation.3" ShapeID="_x0000_i1050" DrawAspect="Content" ObjectID="_1651651360" r:id="rId11"/>
        </w:object>
      </w:r>
      <w:r w:rsidR="003E027C" w:rsidRPr="0036288B">
        <w:rPr>
          <w:rFonts w:ascii="Times New Roman" w:hAnsi="Times New Roman" w:cs="Times New Roman"/>
          <w:sz w:val="24"/>
          <w:szCs w:val="24"/>
        </w:rPr>
        <w:t>;</w:t>
      </w:r>
    </w:p>
    <w:p w:rsidR="003D0061" w:rsidRDefault="003E027C" w:rsidP="005673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61">
        <w:rPr>
          <w:rFonts w:ascii="Times New Roman" w:hAnsi="Times New Roman" w:cs="Times New Roman"/>
          <w:sz w:val="24"/>
          <w:szCs w:val="24"/>
        </w:rPr>
        <w:t xml:space="preserve">узлы с неопределенностью. </w:t>
      </w:r>
      <w:r w:rsidR="0056738C">
        <w:rPr>
          <w:rFonts w:ascii="Times New Roman" w:hAnsi="Times New Roman" w:cs="Times New Roman"/>
          <w:sz w:val="24"/>
          <w:szCs w:val="24"/>
        </w:rPr>
        <w:t>Н</w:t>
      </w:r>
      <w:r w:rsidR="0056738C" w:rsidRPr="0036288B">
        <w:rPr>
          <w:rFonts w:ascii="Times New Roman" w:hAnsi="Times New Roman" w:cs="Times New Roman"/>
          <w:sz w:val="24"/>
          <w:szCs w:val="24"/>
        </w:rPr>
        <w:t>агрузочные узлы, в которых изменяется мощность.</w:t>
      </w:r>
    </w:p>
    <w:p w:rsidR="003E027C" w:rsidRPr="003D0061" w:rsidRDefault="00E800DE" w:rsidP="005673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61">
        <w:rPr>
          <w:rFonts w:ascii="Times New Roman" w:hAnsi="Times New Roman" w:cs="Times New Roman"/>
          <w:sz w:val="24"/>
          <w:szCs w:val="24"/>
        </w:rPr>
        <w:t>О</w:t>
      </w:r>
      <w:r w:rsidR="003E027C" w:rsidRPr="003D0061">
        <w:rPr>
          <w:rFonts w:ascii="Times New Roman" w:hAnsi="Times New Roman" w:cs="Times New Roman"/>
          <w:sz w:val="24"/>
          <w:szCs w:val="24"/>
        </w:rPr>
        <w:t>граничени</w:t>
      </w:r>
      <w:r w:rsidRPr="003D0061">
        <w:rPr>
          <w:rFonts w:ascii="Times New Roman" w:hAnsi="Times New Roman" w:cs="Times New Roman"/>
          <w:sz w:val="24"/>
          <w:szCs w:val="24"/>
        </w:rPr>
        <w:t>я имеют следующий вид:</w:t>
      </w:r>
    </w:p>
    <w:p w:rsidR="003E027C" w:rsidRDefault="00D33E34" w:rsidP="00567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12AE">
        <w:rPr>
          <w:position w:val="-14"/>
          <w:lang w:val="en-US"/>
        </w:rPr>
        <w:object w:dxaOrig="820" w:dyaOrig="400">
          <v:shape id="_x0000_i1052" type="#_x0000_t75" style="width:42pt;height:20.25pt" o:ole="">
            <v:imagedata r:id="rId12" o:title=""/>
          </v:shape>
          <o:OLEObject Type="Embed" ProgID="Equation.3" ShapeID="_x0000_i1052" DrawAspect="Content" ObjectID="_1651651361" r:id="rId13"/>
        </w:object>
      </w:r>
      <w:r w:rsidR="009012AE">
        <w:t>,</w:t>
      </w:r>
      <w:r w:rsidR="003E027C" w:rsidRPr="00310C3B">
        <w:tab/>
      </w:r>
      <w:r w:rsidR="003E027C" w:rsidRPr="00310C3B">
        <w:tab/>
      </w:r>
      <w:r w:rsidR="003E027C" w:rsidRPr="00310C3B">
        <w:tab/>
      </w:r>
      <w:r w:rsidR="003E027C" w:rsidRPr="00310C3B">
        <w:tab/>
      </w:r>
      <w:r w:rsidR="003E027C" w:rsidRPr="00310C3B">
        <w:tab/>
      </w:r>
      <w:r w:rsidR="003E027C" w:rsidRPr="00310C3B">
        <w:tab/>
      </w:r>
      <w:r w:rsidR="003E027C" w:rsidRPr="00310C3B">
        <w:tab/>
      </w:r>
      <w:r w:rsidR="003E027C">
        <w:rPr>
          <w:rFonts w:ascii="Times New Roman" w:hAnsi="Times New Roman" w:cs="Times New Roman"/>
          <w:sz w:val="24"/>
          <w:szCs w:val="24"/>
        </w:rPr>
        <w:t xml:space="preserve"> (</w:t>
      </w:r>
      <w:r w:rsidR="00AE5BEF">
        <w:rPr>
          <w:rFonts w:ascii="Times New Roman" w:hAnsi="Times New Roman" w:cs="Times New Roman"/>
          <w:sz w:val="24"/>
          <w:szCs w:val="24"/>
        </w:rPr>
        <w:t>2</w:t>
      </w:r>
      <w:r w:rsidR="003E027C">
        <w:rPr>
          <w:rFonts w:ascii="Times New Roman" w:hAnsi="Times New Roman" w:cs="Times New Roman"/>
          <w:sz w:val="24"/>
          <w:szCs w:val="24"/>
        </w:rPr>
        <w:t>)</w:t>
      </w:r>
    </w:p>
    <w:p w:rsidR="003E027C" w:rsidRDefault="003E027C" w:rsidP="00567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4A25">
        <w:rPr>
          <w:position w:val="-14"/>
          <w:lang w:val="en-US"/>
        </w:rPr>
        <w:object w:dxaOrig="1100" w:dyaOrig="440">
          <v:shape id="_x0000_i1053" type="#_x0000_t75" style="width:56.25pt;height:21.75pt" o:ole="">
            <v:imagedata r:id="rId14" o:title=""/>
          </v:shape>
          <o:OLEObject Type="Embed" ProgID="Equation.3" ShapeID="_x0000_i1053" DrawAspect="Content" ObjectID="_1651651362" r:id="rId15"/>
        </w:object>
      </w:r>
      <w:r w:rsidRPr="00310C3B">
        <w:tab/>
      </w:r>
      <w:r w:rsidR="009012AE">
        <w:t>,</w:t>
      </w:r>
      <w:r w:rsidRPr="00310C3B">
        <w:tab/>
      </w:r>
      <w:r w:rsidRPr="00310C3B">
        <w:tab/>
      </w:r>
      <w:r w:rsidRPr="00310C3B">
        <w:tab/>
      </w:r>
      <w:r w:rsidRPr="00310C3B">
        <w:tab/>
      </w:r>
      <w:r w:rsidRPr="00310C3B">
        <w:tab/>
      </w:r>
      <w:r w:rsidRPr="00310C3B"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E5B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027C" w:rsidRDefault="003E027C" w:rsidP="00567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4A25">
        <w:rPr>
          <w:position w:val="-10"/>
          <w:lang w:val="en-US"/>
        </w:rPr>
        <w:object w:dxaOrig="1740" w:dyaOrig="400">
          <v:shape id="_x0000_i1054" type="#_x0000_t75" style="width:89.25pt;height:20.25pt" o:ole="">
            <v:imagedata r:id="rId16" o:title=""/>
          </v:shape>
          <o:OLEObject Type="Embed" ProgID="Equation.3" ShapeID="_x0000_i1054" DrawAspect="Content" ObjectID="_1651651363" r:id="rId17"/>
        </w:object>
      </w:r>
      <w:r w:rsidR="009012AE">
        <w:t>,</w:t>
      </w:r>
      <w:r w:rsidRPr="00310C3B">
        <w:tab/>
      </w:r>
      <w:r w:rsidRPr="00310C3B">
        <w:tab/>
      </w:r>
      <w:r w:rsidRPr="00310C3B">
        <w:tab/>
      </w:r>
      <w:r>
        <w:tab/>
      </w:r>
      <w:r w:rsidRPr="00310C3B">
        <w:tab/>
      </w:r>
      <w:r w:rsidRPr="00310C3B"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E5BE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F4E07" w:rsidRDefault="006840D7" w:rsidP="00567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E07">
        <w:rPr>
          <w:position w:val="-10"/>
          <w:lang w:val="en-US"/>
        </w:rPr>
        <w:object w:dxaOrig="940" w:dyaOrig="400">
          <v:shape id="_x0000_i1055" type="#_x0000_t75" style="width:48pt;height:19.5pt" o:ole="">
            <v:imagedata r:id="rId18" o:title=""/>
          </v:shape>
          <o:OLEObject Type="Embed" ProgID="Equation.3" ShapeID="_x0000_i1055" DrawAspect="Content" ObjectID="_1651651364" r:id="rId19"/>
        </w:object>
      </w:r>
      <w:r w:rsidR="009012AE">
        <w:t>,</w:t>
      </w:r>
      <w:r w:rsidR="00CF4E07" w:rsidRPr="00310C3B">
        <w:tab/>
      </w:r>
      <w:r w:rsidR="00CF4E07" w:rsidRPr="00310C3B">
        <w:tab/>
      </w:r>
      <w:r w:rsidR="00CF4E07" w:rsidRPr="00310C3B">
        <w:tab/>
      </w:r>
      <w:r w:rsidR="00CF4E07" w:rsidRPr="00310C3B">
        <w:tab/>
      </w:r>
      <w:r w:rsidR="00CF4E07" w:rsidRPr="00310C3B">
        <w:tab/>
      </w:r>
      <w:r w:rsidR="00CF4E07" w:rsidRPr="00310C3B">
        <w:tab/>
      </w:r>
      <w:r w:rsidR="00CF4E07" w:rsidRPr="00310C3B">
        <w:tab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E5BEF">
        <w:rPr>
          <w:rFonts w:ascii="Times New Roman" w:hAnsi="Times New Roman" w:cs="Times New Roman"/>
          <w:sz w:val="24"/>
          <w:szCs w:val="24"/>
        </w:rPr>
        <w:t>5</w:t>
      </w:r>
      <w:r w:rsidR="00CF4E07">
        <w:rPr>
          <w:rFonts w:ascii="Times New Roman" w:hAnsi="Times New Roman" w:cs="Times New Roman"/>
          <w:sz w:val="24"/>
          <w:szCs w:val="24"/>
        </w:rPr>
        <w:t>)</w:t>
      </w:r>
    </w:p>
    <w:p w:rsidR="003E027C" w:rsidRDefault="003E027C" w:rsidP="005673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027C" w:rsidRDefault="00615517" w:rsidP="00567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15517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 xml:space="preserve"> в (</w:t>
      </w:r>
      <w:r w:rsidR="00AE5B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15517">
        <w:rPr>
          <w:rFonts w:ascii="Times New Roman" w:hAnsi="Times New Roman" w:cs="Times New Roman"/>
          <w:sz w:val="24"/>
          <w:szCs w:val="24"/>
        </w:rPr>
        <w:t xml:space="preserve"> </w:t>
      </w:r>
      <w:r w:rsidR="003E027C" w:rsidRPr="00615517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300" w:dyaOrig="360">
          <v:shape id="_x0000_i1056" type="#_x0000_t75" style="width:15pt;height:18pt" o:ole="">
            <v:imagedata r:id="rId20" o:title=""/>
          </v:shape>
          <o:OLEObject Type="Embed" ProgID="Equation.3" ShapeID="_x0000_i1056" DrawAspect="Content" ObjectID="_1651651365" r:id="rId21"/>
        </w:object>
      </w:r>
      <w:r w:rsidR="003E027C" w:rsidRPr="00615517">
        <w:rPr>
          <w:rFonts w:ascii="Times New Roman" w:hAnsi="Times New Roman" w:cs="Times New Roman"/>
          <w:sz w:val="24"/>
          <w:szCs w:val="24"/>
        </w:rPr>
        <w:t xml:space="preserve"> – значение активной мощности в нагрузочном узле </w:t>
      </w:r>
      <w:proofErr w:type="spellStart"/>
      <w:r w:rsidR="003E027C" w:rsidRPr="0061551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3E027C" w:rsidRPr="0061551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E027C" w:rsidRPr="00615517">
        <w:rPr>
          <w:rFonts w:ascii="Times New Roman" w:hAnsi="Times New Roman" w:cs="Times New Roman"/>
          <w:sz w:val="24"/>
          <w:szCs w:val="24"/>
        </w:rPr>
        <w:t>который имеет</w:t>
      </w:r>
      <w:r>
        <w:rPr>
          <w:rFonts w:ascii="Times New Roman" w:hAnsi="Times New Roman" w:cs="Times New Roman"/>
          <w:sz w:val="24"/>
          <w:szCs w:val="24"/>
        </w:rPr>
        <w:t xml:space="preserve"> неопределенность</w:t>
      </w:r>
      <w:r w:rsidR="003E027C" w:rsidRPr="007D6503">
        <w:rPr>
          <w:rFonts w:ascii="Times New Roman" w:hAnsi="Times New Roman" w:cs="Times New Roman"/>
          <w:sz w:val="24"/>
          <w:szCs w:val="24"/>
        </w:rPr>
        <w:t xml:space="preserve">; </w:t>
      </w:r>
      <w:r w:rsidR="003E027C" w:rsidRPr="007D6503">
        <w:rPr>
          <w:position w:val="-10"/>
          <w:lang w:val="en-US"/>
        </w:rPr>
        <w:object w:dxaOrig="720" w:dyaOrig="360">
          <v:shape id="_x0000_i1057" type="#_x0000_t75" style="width:36pt;height:18pt" o:ole="">
            <v:imagedata r:id="rId22" o:title=""/>
          </v:shape>
          <o:OLEObject Type="Embed" ProgID="Equation.3" ShapeID="_x0000_i1057" DrawAspect="Content" ObjectID="_1651651366" r:id="rId23"/>
        </w:object>
      </w:r>
      <w:r w:rsidR="003E027C">
        <w:rPr>
          <w:rFonts w:ascii="Times New Roman" w:hAnsi="Times New Roman" w:cs="Times New Roman"/>
          <w:sz w:val="24"/>
          <w:szCs w:val="24"/>
        </w:rPr>
        <w:t xml:space="preserve"> </w:t>
      </w:r>
      <w:r w:rsidR="003E027C" w:rsidRPr="007D6503">
        <w:rPr>
          <w:rFonts w:ascii="Times New Roman" w:hAnsi="Times New Roman" w:cs="Times New Roman"/>
          <w:sz w:val="24"/>
          <w:szCs w:val="24"/>
        </w:rPr>
        <w:t xml:space="preserve">– </w:t>
      </w:r>
      <w:r w:rsidR="002B77DF">
        <w:rPr>
          <w:rFonts w:ascii="Times New Roman" w:hAnsi="Times New Roman" w:cs="Times New Roman"/>
          <w:sz w:val="24"/>
          <w:szCs w:val="24"/>
        </w:rPr>
        <w:t xml:space="preserve">зависимость активной мощности от величины </w:t>
      </w:r>
      <w:r w:rsidR="002B77DF" w:rsidRPr="00994CE0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5116F5">
        <w:rPr>
          <w:rFonts w:ascii="Times New Roman" w:hAnsi="Times New Roman" w:cs="Times New Roman"/>
          <w:sz w:val="24"/>
          <w:szCs w:val="24"/>
        </w:rPr>
        <w:t>, отвечающей за изменение</w:t>
      </w:r>
      <w:r w:rsidR="002B77DF">
        <w:rPr>
          <w:rFonts w:ascii="Times New Roman" w:hAnsi="Times New Roman" w:cs="Times New Roman"/>
          <w:sz w:val="24"/>
          <w:szCs w:val="24"/>
        </w:rPr>
        <w:t xml:space="preserve"> нагрузки</w:t>
      </w:r>
      <w:r w:rsidR="003E027C">
        <w:rPr>
          <w:rFonts w:ascii="Times New Roman" w:hAnsi="Times New Roman" w:cs="Times New Roman"/>
          <w:sz w:val="24"/>
          <w:szCs w:val="24"/>
        </w:rPr>
        <w:t xml:space="preserve"> в узле</w:t>
      </w:r>
      <w:r w:rsidR="003E027C" w:rsidRPr="009F57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E027C" w:rsidRPr="007D650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1201FC">
        <w:rPr>
          <w:rFonts w:ascii="Times New Roman" w:hAnsi="Times New Roman" w:cs="Times New Roman"/>
          <w:sz w:val="24"/>
          <w:szCs w:val="24"/>
        </w:rPr>
        <w:t xml:space="preserve">, </w:t>
      </w:r>
      <w:r w:rsidR="001201FC" w:rsidRPr="001201FC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1201FC" w:rsidRPr="001201FC">
        <w:rPr>
          <w:rFonts w:ascii="Times New Roman" w:hAnsi="Times New Roman" w:cs="Times New Roman"/>
          <w:sz w:val="24"/>
          <w:szCs w:val="24"/>
        </w:rPr>
        <w:t xml:space="preserve"> </w:t>
      </w:r>
      <w:r w:rsidR="001201FC">
        <w:rPr>
          <w:rFonts w:ascii="Times New Roman" w:hAnsi="Times New Roman" w:cs="Times New Roman"/>
          <w:sz w:val="24"/>
          <w:szCs w:val="24"/>
        </w:rPr>
        <w:t>– количество нагрузочных узлов с неопределенностью.</w:t>
      </w:r>
      <w:r w:rsidR="003E02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Ограничение </w:t>
      </w:r>
      <w:r w:rsidR="003E027C">
        <w:rPr>
          <w:rFonts w:ascii="Times New Roman" w:hAnsi="Times New Roman" w:cs="Times New Roman"/>
          <w:sz w:val="24"/>
          <w:szCs w:val="24"/>
        </w:rPr>
        <w:t>(</w:t>
      </w:r>
      <w:r w:rsidR="00AE5B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027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3E027C">
        <w:rPr>
          <w:rFonts w:ascii="Times New Roman" w:hAnsi="Times New Roman" w:cs="Times New Roman"/>
          <w:sz w:val="24"/>
          <w:szCs w:val="24"/>
        </w:rPr>
        <w:t xml:space="preserve"> баланс мощности в узле </w:t>
      </w:r>
      <w:r w:rsidR="003E027C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3E02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027C" w:rsidRPr="00AF5AAC">
        <w:rPr>
          <w:rFonts w:ascii="Times New Roman" w:hAnsi="Times New Roman" w:cs="Times New Roman"/>
          <w:sz w:val="24"/>
          <w:szCs w:val="24"/>
        </w:rPr>
        <w:t>(</w:t>
      </w:r>
      <w:r w:rsidR="003E027C">
        <w:rPr>
          <w:rFonts w:ascii="Times New Roman" w:hAnsi="Times New Roman" w:cs="Times New Roman"/>
          <w:sz w:val="24"/>
          <w:szCs w:val="24"/>
        </w:rPr>
        <w:t>любой тип узла)</w:t>
      </w:r>
      <w:r w:rsidR="003E027C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E5B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3E027C">
        <w:rPr>
          <w:rFonts w:ascii="Times New Roman" w:hAnsi="Times New Roman" w:cs="Times New Roman"/>
          <w:sz w:val="24"/>
          <w:szCs w:val="24"/>
        </w:rPr>
        <w:t>ограничение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3E027C">
        <w:rPr>
          <w:rFonts w:ascii="Times New Roman" w:hAnsi="Times New Roman" w:cs="Times New Roman"/>
          <w:sz w:val="24"/>
          <w:szCs w:val="24"/>
        </w:rPr>
        <w:t xml:space="preserve"> пропускной способности линии,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E5BE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ограничивает </w:t>
      </w:r>
      <w:r w:rsidR="003E027C">
        <w:rPr>
          <w:rFonts w:ascii="Times New Roman" w:hAnsi="Times New Roman" w:cs="Times New Roman"/>
          <w:sz w:val="24"/>
          <w:szCs w:val="24"/>
        </w:rPr>
        <w:t xml:space="preserve">диапазон </w:t>
      </w:r>
      <w:r w:rsidR="00AC7D2C">
        <w:rPr>
          <w:rFonts w:ascii="Times New Roman" w:hAnsi="Times New Roman" w:cs="Times New Roman"/>
          <w:sz w:val="24"/>
          <w:szCs w:val="24"/>
        </w:rPr>
        <w:t>управляющих воздействий</w:t>
      </w:r>
      <w:r w:rsidR="003E027C">
        <w:rPr>
          <w:rFonts w:ascii="Times New Roman" w:hAnsi="Times New Roman" w:cs="Times New Roman"/>
          <w:sz w:val="24"/>
          <w:szCs w:val="24"/>
        </w:rPr>
        <w:t xml:space="preserve"> в управляемом узле.</w:t>
      </w:r>
    </w:p>
    <w:p w:rsidR="003E027C" w:rsidRDefault="003E027C" w:rsidP="005673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работе представлены три метода определения гибкости:</w:t>
      </w:r>
      <w:r w:rsidR="003D0061">
        <w:rPr>
          <w:rFonts w:ascii="Times New Roman" w:hAnsi="Times New Roman" w:cs="Times New Roman"/>
          <w:sz w:val="24"/>
          <w:szCs w:val="24"/>
        </w:rPr>
        <w:t xml:space="preserve"> м</w:t>
      </w:r>
      <w:r w:rsidRPr="00AB47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етод </w:t>
      </w:r>
      <w:r w:rsidR="00994C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равномерного спуска</w:t>
      </w:r>
      <w:r w:rsidR="003D0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м</w:t>
      </w:r>
      <w:r w:rsidRPr="00AB47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етод частичного перебора с пре</w:t>
      </w:r>
      <w:r w:rsidR="003D0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добработкой исходной информации, л</w:t>
      </w:r>
      <w:r w:rsidRPr="00AB47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инейная </w:t>
      </w:r>
      <w:r w:rsidR="00633D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опти</w:t>
      </w:r>
      <w:r w:rsidRPr="00AB47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мизация.</w:t>
      </w:r>
    </w:p>
    <w:p w:rsidR="007A47B3" w:rsidRDefault="00BA2F00" w:rsidP="0056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Расчеты выполняются на с</w:t>
      </w:r>
      <w:r w:rsidRPr="005E6D55">
        <w:rPr>
          <w:rFonts w:ascii="Times New Roman" w:hAnsi="Times New Roman" w:cs="Times New Roman"/>
          <w:sz w:val="24"/>
          <w:szCs w:val="24"/>
        </w:rPr>
        <w:t>хем</w:t>
      </w:r>
      <w:r>
        <w:rPr>
          <w:rFonts w:ascii="Times New Roman" w:hAnsi="Times New Roman" w:cs="Times New Roman"/>
          <w:sz w:val="24"/>
          <w:szCs w:val="24"/>
        </w:rPr>
        <w:t>е, состоящей из</w:t>
      </w:r>
      <w:r w:rsidRPr="005E6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6D55">
        <w:rPr>
          <w:rFonts w:ascii="Times New Roman" w:hAnsi="Times New Roman" w:cs="Times New Roman"/>
          <w:sz w:val="24"/>
          <w:szCs w:val="24"/>
        </w:rPr>
        <w:t xml:space="preserve"> узл</w:t>
      </w:r>
      <w:r>
        <w:rPr>
          <w:rFonts w:ascii="Times New Roman" w:hAnsi="Times New Roman" w:cs="Times New Roman"/>
          <w:sz w:val="24"/>
          <w:szCs w:val="24"/>
        </w:rPr>
        <w:t xml:space="preserve">ов и 5 линий. Узлы 3,4 – узлы, где меняется нагрузка. </w:t>
      </w:r>
      <w:r w:rsidR="003D1470">
        <w:rPr>
          <w:rFonts w:ascii="Times New Roman" w:hAnsi="Times New Roman" w:cs="Times New Roman"/>
          <w:sz w:val="24"/>
          <w:szCs w:val="24"/>
        </w:rPr>
        <w:t xml:space="preserve">Узлом 1 обозначается ветровая станция. Узел 5 – это батарея. </w:t>
      </w:r>
      <w:r w:rsidR="00F94F16">
        <w:rPr>
          <w:rFonts w:ascii="Times New Roman" w:hAnsi="Times New Roman" w:cs="Times New Roman"/>
          <w:sz w:val="24"/>
          <w:szCs w:val="24"/>
        </w:rPr>
        <w:t xml:space="preserve">Узел 2 </w:t>
      </w:r>
      <w:r w:rsidR="00D873D2">
        <w:rPr>
          <w:rFonts w:ascii="Times New Roman" w:hAnsi="Times New Roman" w:cs="Times New Roman"/>
          <w:sz w:val="24"/>
          <w:szCs w:val="24"/>
        </w:rPr>
        <w:t>(</w:t>
      </w:r>
      <w:r w:rsidR="00D873D2">
        <w:rPr>
          <w:rFonts w:ascii="Times New Roman" w:hAnsi="Times New Roman" w:cs="Times New Roman"/>
          <w:sz w:val="24"/>
          <w:szCs w:val="24"/>
        </w:rPr>
        <w:t>традиционн</w:t>
      </w:r>
      <w:r w:rsidR="00D873D2">
        <w:rPr>
          <w:rFonts w:ascii="Times New Roman" w:hAnsi="Times New Roman" w:cs="Times New Roman"/>
          <w:sz w:val="24"/>
          <w:szCs w:val="24"/>
        </w:rPr>
        <w:t>ая</w:t>
      </w:r>
      <w:r w:rsidR="00D873D2">
        <w:rPr>
          <w:rFonts w:ascii="Times New Roman" w:hAnsi="Times New Roman" w:cs="Times New Roman"/>
          <w:sz w:val="24"/>
          <w:szCs w:val="24"/>
        </w:rPr>
        <w:t xml:space="preserve"> станци</w:t>
      </w:r>
      <w:r w:rsidR="00D873D2">
        <w:rPr>
          <w:rFonts w:ascii="Times New Roman" w:hAnsi="Times New Roman" w:cs="Times New Roman"/>
          <w:sz w:val="24"/>
          <w:szCs w:val="24"/>
        </w:rPr>
        <w:t xml:space="preserve">я) </w:t>
      </w:r>
      <w:r w:rsidR="00F94F16">
        <w:rPr>
          <w:rFonts w:ascii="Times New Roman" w:hAnsi="Times New Roman" w:cs="Times New Roman"/>
          <w:sz w:val="24"/>
          <w:szCs w:val="24"/>
        </w:rPr>
        <w:t xml:space="preserve">является управляемым узлом, где выполняются </w:t>
      </w:r>
      <w:r w:rsidR="00AC7D2C">
        <w:rPr>
          <w:rFonts w:ascii="Times New Roman" w:hAnsi="Times New Roman" w:cs="Times New Roman"/>
          <w:sz w:val="24"/>
          <w:szCs w:val="24"/>
        </w:rPr>
        <w:t>управляющие воздействия</w:t>
      </w:r>
      <w:r w:rsidR="00F94F16">
        <w:rPr>
          <w:rFonts w:ascii="Times New Roman" w:hAnsi="Times New Roman" w:cs="Times New Roman"/>
          <w:sz w:val="24"/>
          <w:szCs w:val="24"/>
        </w:rPr>
        <w:t xml:space="preserve"> </w:t>
      </w:r>
      <w:r w:rsidR="007A47B3">
        <w:rPr>
          <w:rFonts w:ascii="Times New Roman" w:hAnsi="Times New Roman" w:cs="Times New Roman"/>
          <w:sz w:val="24"/>
          <w:szCs w:val="24"/>
        </w:rPr>
        <w:t xml:space="preserve">в виде генерации </w:t>
      </w:r>
      <w:r w:rsidR="00C75987">
        <w:rPr>
          <w:rFonts w:ascii="Times New Roman" w:hAnsi="Times New Roman" w:cs="Times New Roman"/>
          <w:sz w:val="24"/>
          <w:szCs w:val="24"/>
        </w:rPr>
        <w:t xml:space="preserve">мощности, </w:t>
      </w:r>
      <w:r w:rsidR="002549B1">
        <w:rPr>
          <w:rFonts w:ascii="Times New Roman" w:hAnsi="Times New Roman" w:cs="Times New Roman"/>
          <w:sz w:val="24"/>
          <w:szCs w:val="24"/>
        </w:rPr>
        <w:t>требующейся</w:t>
      </w:r>
      <w:r w:rsidR="007A47B3">
        <w:rPr>
          <w:rFonts w:ascii="Times New Roman" w:hAnsi="Times New Roman" w:cs="Times New Roman"/>
          <w:sz w:val="24"/>
          <w:szCs w:val="24"/>
        </w:rPr>
        <w:t xml:space="preserve"> для </w:t>
      </w:r>
      <w:r w:rsidR="00C75987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7A47B3">
        <w:rPr>
          <w:rFonts w:ascii="Times New Roman" w:hAnsi="Times New Roman" w:cs="Times New Roman"/>
          <w:sz w:val="24"/>
          <w:szCs w:val="24"/>
        </w:rPr>
        <w:t xml:space="preserve">баланса </w:t>
      </w:r>
      <w:r w:rsidR="00C75987">
        <w:rPr>
          <w:rFonts w:ascii="Times New Roman" w:hAnsi="Times New Roman" w:cs="Times New Roman"/>
          <w:sz w:val="24"/>
          <w:szCs w:val="24"/>
        </w:rPr>
        <w:t>в</w:t>
      </w:r>
      <w:r w:rsidR="002549B1">
        <w:rPr>
          <w:rFonts w:ascii="Times New Roman" w:hAnsi="Times New Roman" w:cs="Times New Roman"/>
          <w:sz w:val="24"/>
          <w:szCs w:val="24"/>
        </w:rPr>
        <w:t xml:space="preserve"> ЭЭС</w:t>
      </w:r>
      <w:r w:rsidR="007A47B3">
        <w:rPr>
          <w:rFonts w:ascii="Times New Roman" w:hAnsi="Times New Roman" w:cs="Times New Roman"/>
          <w:sz w:val="24"/>
          <w:szCs w:val="24"/>
        </w:rPr>
        <w:t xml:space="preserve">, с </w:t>
      </w:r>
      <w:r w:rsidR="003D1470">
        <w:rPr>
          <w:rFonts w:ascii="Times New Roman" w:hAnsi="Times New Roman" w:cs="Times New Roman"/>
          <w:sz w:val="24"/>
          <w:szCs w:val="24"/>
        </w:rPr>
        <w:t>учет</w:t>
      </w:r>
      <w:r w:rsidR="007A47B3">
        <w:rPr>
          <w:rFonts w:ascii="Times New Roman" w:hAnsi="Times New Roman" w:cs="Times New Roman"/>
          <w:sz w:val="24"/>
          <w:szCs w:val="24"/>
        </w:rPr>
        <w:t>ом</w:t>
      </w:r>
      <w:r w:rsidR="003D1470">
        <w:rPr>
          <w:rFonts w:ascii="Times New Roman" w:hAnsi="Times New Roman" w:cs="Times New Roman"/>
          <w:sz w:val="24"/>
          <w:szCs w:val="24"/>
        </w:rPr>
        <w:t xml:space="preserve"> </w:t>
      </w:r>
      <w:r w:rsidR="007A47B3">
        <w:rPr>
          <w:rFonts w:ascii="Times New Roman" w:hAnsi="Times New Roman" w:cs="Times New Roman"/>
          <w:sz w:val="24"/>
          <w:szCs w:val="24"/>
        </w:rPr>
        <w:t>пр</w:t>
      </w:r>
      <w:r w:rsidR="002549B1">
        <w:rPr>
          <w:rFonts w:ascii="Times New Roman" w:hAnsi="Times New Roman" w:cs="Times New Roman"/>
          <w:sz w:val="24"/>
          <w:szCs w:val="24"/>
        </w:rPr>
        <w:t>огноза</w:t>
      </w:r>
      <w:r w:rsidR="007A47B3">
        <w:rPr>
          <w:rFonts w:ascii="Times New Roman" w:hAnsi="Times New Roman" w:cs="Times New Roman"/>
          <w:sz w:val="24"/>
          <w:szCs w:val="24"/>
        </w:rPr>
        <w:t xml:space="preserve"> </w:t>
      </w:r>
      <w:r w:rsidR="003D1470">
        <w:rPr>
          <w:rFonts w:ascii="Times New Roman" w:hAnsi="Times New Roman" w:cs="Times New Roman"/>
          <w:sz w:val="24"/>
          <w:szCs w:val="24"/>
        </w:rPr>
        <w:t>генерации на ветровой станции и</w:t>
      </w:r>
      <w:r w:rsidR="00F94F16">
        <w:rPr>
          <w:rFonts w:ascii="Times New Roman" w:hAnsi="Times New Roman" w:cs="Times New Roman"/>
          <w:sz w:val="24"/>
          <w:szCs w:val="24"/>
        </w:rPr>
        <w:t xml:space="preserve"> </w:t>
      </w:r>
      <w:r w:rsidR="003D1470">
        <w:rPr>
          <w:rFonts w:ascii="Times New Roman" w:hAnsi="Times New Roman" w:cs="Times New Roman"/>
          <w:sz w:val="24"/>
          <w:szCs w:val="24"/>
        </w:rPr>
        <w:t>мощности, отдаваемо</w:t>
      </w:r>
      <w:bookmarkStart w:id="0" w:name="_GoBack"/>
      <w:bookmarkEnd w:id="0"/>
      <w:r w:rsidR="003D1470">
        <w:rPr>
          <w:rFonts w:ascii="Times New Roman" w:hAnsi="Times New Roman" w:cs="Times New Roman"/>
          <w:sz w:val="24"/>
          <w:szCs w:val="24"/>
        </w:rPr>
        <w:t>й батареей. Узлы 1 и 5 рассматриваются неуправляемыми.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F00" w:rsidRDefault="00D873D2" w:rsidP="0056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определяются</w:t>
      </w:r>
      <w:r w:rsidR="00BA2F00">
        <w:rPr>
          <w:rFonts w:ascii="Times New Roman" w:hAnsi="Times New Roman" w:cs="Times New Roman"/>
          <w:sz w:val="24"/>
          <w:szCs w:val="24"/>
        </w:rPr>
        <w:t xml:space="preserve"> наибольшие значения нагруз</w:t>
      </w:r>
      <w:r w:rsidR="003D1470">
        <w:rPr>
          <w:rFonts w:ascii="Times New Roman" w:hAnsi="Times New Roman" w:cs="Times New Roman"/>
          <w:sz w:val="24"/>
          <w:szCs w:val="24"/>
        </w:rPr>
        <w:t>о</w:t>
      </w:r>
      <w:r w:rsidR="00BA2F00">
        <w:rPr>
          <w:rFonts w:ascii="Times New Roman" w:hAnsi="Times New Roman" w:cs="Times New Roman"/>
          <w:sz w:val="24"/>
          <w:szCs w:val="24"/>
        </w:rPr>
        <w:t>к в узлах 3,4</w:t>
      </w:r>
      <w:r w:rsidR="00FB065C">
        <w:rPr>
          <w:rFonts w:ascii="Times New Roman" w:hAnsi="Times New Roman" w:cs="Times New Roman"/>
          <w:sz w:val="24"/>
          <w:szCs w:val="24"/>
        </w:rPr>
        <w:t xml:space="preserve"> на 4 минуты вперед</w:t>
      </w:r>
      <w:r w:rsidR="00BA2F00">
        <w:rPr>
          <w:rFonts w:ascii="Times New Roman" w:hAnsi="Times New Roman" w:cs="Times New Roman"/>
          <w:sz w:val="24"/>
          <w:szCs w:val="24"/>
        </w:rPr>
        <w:t>.</w:t>
      </w:r>
      <w:r w:rsidR="00F94F16">
        <w:rPr>
          <w:rFonts w:ascii="Times New Roman" w:hAnsi="Times New Roman" w:cs="Times New Roman"/>
          <w:sz w:val="24"/>
          <w:szCs w:val="24"/>
        </w:rPr>
        <w:t xml:space="preserve"> </w:t>
      </w:r>
      <w:r w:rsidR="00F94F16" w:rsidRPr="00CB2BFF">
        <w:rPr>
          <w:rFonts w:ascii="Times New Roman" w:hAnsi="Times New Roman" w:cs="Times New Roman"/>
          <w:sz w:val="24"/>
          <w:szCs w:val="24"/>
        </w:rPr>
        <w:t>Допускается, что за 4 минуты</w:t>
      </w:r>
      <w:r w:rsidR="00F94F16" w:rsidRPr="00903DCC">
        <w:rPr>
          <w:rFonts w:ascii="Times New Roman" w:hAnsi="Times New Roman" w:cs="Times New Roman"/>
          <w:sz w:val="28"/>
          <w:szCs w:val="28"/>
        </w:rPr>
        <w:t xml:space="preserve"> </w:t>
      </w:r>
      <w:r w:rsidR="00F94F16" w:rsidRPr="00C52E63">
        <w:rPr>
          <w:rFonts w:ascii="Times New Roman" w:hAnsi="Times New Roman" w:cs="Times New Roman"/>
          <w:sz w:val="24"/>
          <w:szCs w:val="24"/>
        </w:rPr>
        <w:t xml:space="preserve">включается весь имеющийся резерв на </w:t>
      </w:r>
      <w:r w:rsidR="00741E60">
        <w:rPr>
          <w:rFonts w:ascii="Times New Roman" w:hAnsi="Times New Roman" w:cs="Times New Roman"/>
          <w:sz w:val="24"/>
          <w:szCs w:val="24"/>
        </w:rPr>
        <w:t xml:space="preserve">традиционной </w:t>
      </w:r>
      <w:r w:rsidR="00F94F16" w:rsidRPr="00C52E63">
        <w:rPr>
          <w:rFonts w:ascii="Times New Roman" w:hAnsi="Times New Roman" w:cs="Times New Roman"/>
          <w:sz w:val="24"/>
          <w:szCs w:val="24"/>
        </w:rPr>
        <w:t>станции</w:t>
      </w:r>
      <w:r w:rsidR="00C75987">
        <w:rPr>
          <w:rFonts w:ascii="Times New Roman" w:hAnsi="Times New Roman" w:cs="Times New Roman"/>
          <w:sz w:val="24"/>
          <w:szCs w:val="24"/>
        </w:rPr>
        <w:t>, и батарея выдает максимальную мощность</w:t>
      </w:r>
      <w:r w:rsidR="00F94F16">
        <w:rPr>
          <w:rFonts w:ascii="Times New Roman" w:hAnsi="Times New Roman" w:cs="Times New Roman"/>
          <w:sz w:val="24"/>
          <w:szCs w:val="24"/>
        </w:rPr>
        <w:t>.</w:t>
      </w:r>
    </w:p>
    <w:p w:rsidR="008705C7" w:rsidRDefault="008705C7" w:rsidP="00567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38C" w:rsidRPr="0056738C" w:rsidRDefault="0056738C" w:rsidP="00567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8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8800599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sdt>
          <w:sdtPr>
            <w:id w:val="111145805"/>
            <w:bibliography/>
          </w:sdtPr>
          <w:sdtEndPr>
            <w:rPr>
              <w:rFonts w:ascii="Times New Roman" w:eastAsiaTheme="minorHAnsi" w:hAnsi="Times New Roman" w:cs="Times New Roman"/>
              <w:color w:val="auto"/>
              <w:sz w:val="24"/>
              <w:szCs w:val="24"/>
              <w:lang w:eastAsia="en-US"/>
            </w:rPr>
          </w:sdtEndPr>
          <w:sdtContent>
            <w:p w:rsidR="003D0061" w:rsidRPr="003D0061" w:rsidRDefault="009D1D33" w:rsidP="001E7DFF">
              <w:pPr>
                <w:pStyle w:val="1"/>
                <w:spacing w:before="0" w:line="240" w:lineRule="auto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3D006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3D0061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3D006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55"/>
                <w:gridCol w:w="9283"/>
              </w:tblGrid>
              <w:tr w:rsidR="003D0061" w:rsidRPr="003D0061">
                <w:trPr>
                  <w:divId w:val="1449616513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3D0061" w:rsidRPr="003D0061" w:rsidRDefault="003D0061" w:rsidP="0056738C">
                    <w:pPr>
                      <w:pStyle w:val="a7"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3D0061" w:rsidRPr="003D0061" w:rsidRDefault="003D0061" w:rsidP="0056738C">
                    <w:pPr>
                      <w:pStyle w:val="a7"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</w:pP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 xml:space="preserve">Peter D. Land, Juuso Lindgren, Jani Mikkola, Juri Salpakari, «Review of energy system flexibility measures to enable high levels of variable renewable electricity,» </w:t>
                    </w:r>
                    <w:r w:rsidRPr="003D0061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4"/>
                        <w:szCs w:val="24"/>
                        <w:lang w:val="en-US"/>
                      </w:rPr>
                      <w:t xml:space="preserve">Renewable and sustainable energy reviews, </w:t>
                    </w: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т</w:t>
                    </w: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 xml:space="preserve">. 45, pp. 785-807, 2015. </w:t>
                    </w:r>
                  </w:p>
                </w:tc>
              </w:tr>
              <w:tr w:rsidR="003D0061" w:rsidRPr="003D0061">
                <w:trPr>
                  <w:divId w:val="1449616513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3D0061" w:rsidRPr="003D0061" w:rsidRDefault="003D0061" w:rsidP="0056738C">
                    <w:pPr>
                      <w:pStyle w:val="a7"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3D0061" w:rsidRPr="003D0061" w:rsidRDefault="003D0061" w:rsidP="0056738C">
                    <w:pPr>
                      <w:pStyle w:val="a7"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 xml:space="preserve">Erik Ela, Michael Milligan, and Brendan Kirby , «Operating Reserves and Variable Generation,» Technical Report NREL/TP-5500-51978 Contract No. </w:t>
                    </w: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DE-AC36-08GO28308, 2011.</w:t>
                    </w:r>
                  </w:p>
                </w:tc>
              </w:tr>
              <w:tr w:rsidR="003D0061" w:rsidRPr="003D0061">
                <w:trPr>
                  <w:divId w:val="1449616513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3D0061" w:rsidRPr="003D0061" w:rsidRDefault="003D0061" w:rsidP="0056738C">
                    <w:pPr>
                      <w:pStyle w:val="a7"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3D0061" w:rsidRPr="003D0061" w:rsidRDefault="003D0061" w:rsidP="0056738C">
                    <w:pPr>
                      <w:pStyle w:val="a7"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</w:pP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 xml:space="preserve">Yann Rebours, D.s. Kirschen, Marc Trotignon, Sbastien Rossignol, «A survey of frequency and voltage control ancillary services – Part I: technical features,» </w:t>
                    </w:r>
                    <w:r w:rsidRPr="003D0061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4"/>
                        <w:szCs w:val="24"/>
                        <w:lang w:val="en-US"/>
                      </w:rPr>
                      <w:t xml:space="preserve">IEEE Transactions on Power Systems, </w:t>
                    </w: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т</w:t>
                    </w: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val="en-US"/>
                      </w:rPr>
                      <w:t xml:space="preserve">. 22, № 1, pp. 350-357, 2007. </w:t>
                    </w:r>
                  </w:p>
                </w:tc>
              </w:tr>
              <w:tr w:rsidR="003D0061" w:rsidRPr="003D0061">
                <w:trPr>
                  <w:divId w:val="1449616513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3D0061" w:rsidRPr="003D0061" w:rsidRDefault="003D0061" w:rsidP="0056738C">
                    <w:pPr>
                      <w:pStyle w:val="a7"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3D0061" w:rsidRPr="003D0061" w:rsidRDefault="003D0061" w:rsidP="0056738C">
                    <w:pPr>
                      <w:pStyle w:val="a7"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«Методика определения минимально необходимых объемов резервов активной мощности ЕЭС России,» в </w:t>
                    </w:r>
                    <w:r w:rsidRPr="003D0061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4"/>
                        <w:szCs w:val="24"/>
                      </w:rPr>
                      <w:t>Москва 2014. С сайта ОАО «СО ЕЭС» www.so-ups.ru. https://so-ups.ru/fileadmin/files/company/markets/2014/metodika_opredelenija_1114.pdf</w:t>
                    </w: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. </w:t>
                    </w:r>
                  </w:p>
                </w:tc>
              </w:tr>
              <w:tr w:rsidR="003D0061" w:rsidRPr="003D0061">
                <w:trPr>
                  <w:divId w:val="1449616513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3D0061" w:rsidRPr="003D0061" w:rsidRDefault="003D0061" w:rsidP="0056738C">
                    <w:pPr>
                      <w:pStyle w:val="a7"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3D0061" w:rsidRPr="003D0061" w:rsidRDefault="003D0061" w:rsidP="0056738C">
                    <w:pPr>
                      <w:pStyle w:val="a7"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Владимир Сидорович, Борис Бокарев, Игорь Чаусов, Максим Кулешов, Сергей Рычков, Илья Бурдин, «Управление спросом в электроэнергетике России: открывающиеся возможности. Экспертно-аналитический доклад. Инфраструктурный центр EnergyNet,,» в </w:t>
                    </w:r>
                    <w:r w:rsidRPr="003D0061"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4"/>
                        <w:szCs w:val="24"/>
                      </w:rPr>
                      <w:t>https://energynet.ru/upload/EnergyNet_2019_PRINT.pdf</w:t>
                    </w: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, Москва, 2019. </w:t>
                    </w:r>
                  </w:p>
                </w:tc>
              </w:tr>
              <w:tr w:rsidR="003D0061" w:rsidRPr="003D0061">
                <w:trPr>
                  <w:divId w:val="1449616513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3D0061" w:rsidRPr="003D0061" w:rsidRDefault="003D0061" w:rsidP="0056738C">
                    <w:pPr>
                      <w:pStyle w:val="a7"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3D0061" w:rsidRPr="003D0061" w:rsidRDefault="003D0061" w:rsidP="0056738C">
                    <w:pPr>
                      <w:pStyle w:val="a7"/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</w:pPr>
                    <w:r w:rsidRPr="003D006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 xml:space="preserve">«http://www.ic-art.ru/setevie_gibridnie/nakopiteli/». </w:t>
                    </w:r>
                  </w:p>
                </w:tc>
              </w:tr>
            </w:tbl>
            <w:p w:rsidR="003D0061" w:rsidRPr="003D0061" w:rsidRDefault="003D0061" w:rsidP="0056738C">
              <w:pPr>
                <w:spacing w:after="0" w:line="240" w:lineRule="auto"/>
                <w:jc w:val="both"/>
                <w:divId w:val="1449616513"/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</w:pPr>
            </w:p>
            <w:p w:rsidR="009D1D33" w:rsidRPr="003D0061" w:rsidRDefault="009D1D33" w:rsidP="0056738C">
              <w:pPr>
                <w:spacing w:after="0" w:line="24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3D0061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9D1D33" w:rsidRPr="0032702E" w:rsidRDefault="009D1D33" w:rsidP="00CA2B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1D33" w:rsidRPr="0032702E" w:rsidSect="003D00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0496"/>
    <w:multiLevelType w:val="hybridMultilevel"/>
    <w:tmpl w:val="35241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7F2D"/>
    <w:multiLevelType w:val="hybridMultilevel"/>
    <w:tmpl w:val="8BA80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4FED"/>
    <w:multiLevelType w:val="multilevel"/>
    <w:tmpl w:val="0AFA5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54E6C"/>
    <w:multiLevelType w:val="hybridMultilevel"/>
    <w:tmpl w:val="79AC4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68A"/>
    <w:multiLevelType w:val="hybridMultilevel"/>
    <w:tmpl w:val="69848B08"/>
    <w:lvl w:ilvl="0" w:tplc="63FAC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83B3C"/>
    <w:multiLevelType w:val="hybridMultilevel"/>
    <w:tmpl w:val="33B4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212BD"/>
    <w:multiLevelType w:val="hybridMultilevel"/>
    <w:tmpl w:val="7362017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81321"/>
    <w:multiLevelType w:val="multilevel"/>
    <w:tmpl w:val="FECC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C1894"/>
    <w:multiLevelType w:val="hybridMultilevel"/>
    <w:tmpl w:val="33B4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D466D"/>
    <w:multiLevelType w:val="hybridMultilevel"/>
    <w:tmpl w:val="56C2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C50AF"/>
    <w:multiLevelType w:val="hybridMultilevel"/>
    <w:tmpl w:val="56B2847A"/>
    <w:lvl w:ilvl="0" w:tplc="0B923AD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10"/>
  </w:num>
  <w:num w:numId="8">
    <w:abstractNumId w:val="1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E8"/>
    <w:rsid w:val="00006D27"/>
    <w:rsid w:val="00010463"/>
    <w:rsid w:val="000147DC"/>
    <w:rsid w:val="00020098"/>
    <w:rsid w:val="00044708"/>
    <w:rsid w:val="000467C2"/>
    <w:rsid w:val="000536E5"/>
    <w:rsid w:val="00072AA1"/>
    <w:rsid w:val="00073FC7"/>
    <w:rsid w:val="000868F6"/>
    <w:rsid w:val="00093C35"/>
    <w:rsid w:val="000956B9"/>
    <w:rsid w:val="000A724A"/>
    <w:rsid w:val="000B0958"/>
    <w:rsid w:val="000B1590"/>
    <w:rsid w:val="000B576A"/>
    <w:rsid w:val="000C158A"/>
    <w:rsid w:val="000C3FB0"/>
    <w:rsid w:val="000E61B6"/>
    <w:rsid w:val="00100210"/>
    <w:rsid w:val="00101033"/>
    <w:rsid w:val="001056F2"/>
    <w:rsid w:val="00115E20"/>
    <w:rsid w:val="001201FC"/>
    <w:rsid w:val="00122891"/>
    <w:rsid w:val="0014100D"/>
    <w:rsid w:val="0016598F"/>
    <w:rsid w:val="0017053F"/>
    <w:rsid w:val="00171124"/>
    <w:rsid w:val="00181D72"/>
    <w:rsid w:val="00194C40"/>
    <w:rsid w:val="001A1AE0"/>
    <w:rsid w:val="001A5CE8"/>
    <w:rsid w:val="001B5C4E"/>
    <w:rsid w:val="001C11B9"/>
    <w:rsid w:val="001C37A7"/>
    <w:rsid w:val="001D2A7A"/>
    <w:rsid w:val="001E5D57"/>
    <w:rsid w:val="001E7DFF"/>
    <w:rsid w:val="00210FAA"/>
    <w:rsid w:val="00215110"/>
    <w:rsid w:val="00232A38"/>
    <w:rsid w:val="002414D8"/>
    <w:rsid w:val="00253714"/>
    <w:rsid w:val="002549B1"/>
    <w:rsid w:val="00276498"/>
    <w:rsid w:val="00293650"/>
    <w:rsid w:val="002A4EAA"/>
    <w:rsid w:val="002A5F0A"/>
    <w:rsid w:val="002B77DF"/>
    <w:rsid w:val="002C7038"/>
    <w:rsid w:val="002D093B"/>
    <w:rsid w:val="002E766C"/>
    <w:rsid w:val="002F2317"/>
    <w:rsid w:val="002F2936"/>
    <w:rsid w:val="003042DB"/>
    <w:rsid w:val="00306F1C"/>
    <w:rsid w:val="00310AFA"/>
    <w:rsid w:val="00310C3B"/>
    <w:rsid w:val="0032702E"/>
    <w:rsid w:val="00327484"/>
    <w:rsid w:val="00331105"/>
    <w:rsid w:val="003318DF"/>
    <w:rsid w:val="0035192C"/>
    <w:rsid w:val="0036288B"/>
    <w:rsid w:val="003718F0"/>
    <w:rsid w:val="003817E1"/>
    <w:rsid w:val="00382794"/>
    <w:rsid w:val="00384628"/>
    <w:rsid w:val="00386D3C"/>
    <w:rsid w:val="003A1AAD"/>
    <w:rsid w:val="003A7070"/>
    <w:rsid w:val="003D0061"/>
    <w:rsid w:val="003D0063"/>
    <w:rsid w:val="003D1470"/>
    <w:rsid w:val="003E027C"/>
    <w:rsid w:val="003E53A6"/>
    <w:rsid w:val="00417BDB"/>
    <w:rsid w:val="00426C25"/>
    <w:rsid w:val="0045780C"/>
    <w:rsid w:val="00461D00"/>
    <w:rsid w:val="00462ACC"/>
    <w:rsid w:val="00475F38"/>
    <w:rsid w:val="00476C59"/>
    <w:rsid w:val="004824FA"/>
    <w:rsid w:val="0048417E"/>
    <w:rsid w:val="00487A00"/>
    <w:rsid w:val="00494FA3"/>
    <w:rsid w:val="0049721D"/>
    <w:rsid w:val="004B5F74"/>
    <w:rsid w:val="004E5BE0"/>
    <w:rsid w:val="004F561B"/>
    <w:rsid w:val="00503A25"/>
    <w:rsid w:val="005116F5"/>
    <w:rsid w:val="005214D5"/>
    <w:rsid w:val="00530E59"/>
    <w:rsid w:val="005629AD"/>
    <w:rsid w:val="0056738C"/>
    <w:rsid w:val="005A02CB"/>
    <w:rsid w:val="005A18AE"/>
    <w:rsid w:val="005A2566"/>
    <w:rsid w:val="005A4434"/>
    <w:rsid w:val="005B1ABE"/>
    <w:rsid w:val="005C7E86"/>
    <w:rsid w:val="005D1EF4"/>
    <w:rsid w:val="005D7913"/>
    <w:rsid w:val="005E48EA"/>
    <w:rsid w:val="005E5C06"/>
    <w:rsid w:val="005F784F"/>
    <w:rsid w:val="0060386C"/>
    <w:rsid w:val="0060699B"/>
    <w:rsid w:val="00610221"/>
    <w:rsid w:val="0061390D"/>
    <w:rsid w:val="0061467E"/>
    <w:rsid w:val="00615517"/>
    <w:rsid w:val="00625B14"/>
    <w:rsid w:val="00630BBA"/>
    <w:rsid w:val="00633D06"/>
    <w:rsid w:val="00645CF3"/>
    <w:rsid w:val="00660E02"/>
    <w:rsid w:val="00663D7F"/>
    <w:rsid w:val="00665B3F"/>
    <w:rsid w:val="006840D7"/>
    <w:rsid w:val="00693F16"/>
    <w:rsid w:val="006A57F9"/>
    <w:rsid w:val="006C1981"/>
    <w:rsid w:val="006D10F0"/>
    <w:rsid w:val="006D1916"/>
    <w:rsid w:val="006E14CB"/>
    <w:rsid w:val="006E1AD2"/>
    <w:rsid w:val="007069E7"/>
    <w:rsid w:val="0072083F"/>
    <w:rsid w:val="00720B15"/>
    <w:rsid w:val="00724142"/>
    <w:rsid w:val="00736195"/>
    <w:rsid w:val="00737BD3"/>
    <w:rsid w:val="00741E60"/>
    <w:rsid w:val="00757AA0"/>
    <w:rsid w:val="0077302E"/>
    <w:rsid w:val="00773559"/>
    <w:rsid w:val="00775ED7"/>
    <w:rsid w:val="0077619A"/>
    <w:rsid w:val="007923B1"/>
    <w:rsid w:val="007A3A7A"/>
    <w:rsid w:val="007A47B3"/>
    <w:rsid w:val="007D2FAB"/>
    <w:rsid w:val="007D6503"/>
    <w:rsid w:val="007F011E"/>
    <w:rsid w:val="007F20FC"/>
    <w:rsid w:val="007F31DA"/>
    <w:rsid w:val="0080398F"/>
    <w:rsid w:val="008113AA"/>
    <w:rsid w:val="008206FC"/>
    <w:rsid w:val="008333C7"/>
    <w:rsid w:val="00833681"/>
    <w:rsid w:val="00837B5B"/>
    <w:rsid w:val="008445E3"/>
    <w:rsid w:val="00845370"/>
    <w:rsid w:val="008465EE"/>
    <w:rsid w:val="00851437"/>
    <w:rsid w:val="00854CE8"/>
    <w:rsid w:val="00867B66"/>
    <w:rsid w:val="008705C7"/>
    <w:rsid w:val="00875A35"/>
    <w:rsid w:val="00877692"/>
    <w:rsid w:val="008809FF"/>
    <w:rsid w:val="008A115F"/>
    <w:rsid w:val="008B214A"/>
    <w:rsid w:val="008D33DD"/>
    <w:rsid w:val="008D53A0"/>
    <w:rsid w:val="008D6280"/>
    <w:rsid w:val="008E725D"/>
    <w:rsid w:val="009012AE"/>
    <w:rsid w:val="00910ABE"/>
    <w:rsid w:val="0091297C"/>
    <w:rsid w:val="0091423C"/>
    <w:rsid w:val="009235E6"/>
    <w:rsid w:val="00935A78"/>
    <w:rsid w:val="00937015"/>
    <w:rsid w:val="009430E9"/>
    <w:rsid w:val="00943907"/>
    <w:rsid w:val="00945525"/>
    <w:rsid w:val="009462A0"/>
    <w:rsid w:val="00956C46"/>
    <w:rsid w:val="00957A73"/>
    <w:rsid w:val="00961442"/>
    <w:rsid w:val="009627F8"/>
    <w:rsid w:val="00994CE0"/>
    <w:rsid w:val="009B0640"/>
    <w:rsid w:val="009B732B"/>
    <w:rsid w:val="009C6597"/>
    <w:rsid w:val="009D1AF6"/>
    <w:rsid w:val="009D1D33"/>
    <w:rsid w:val="009D5F18"/>
    <w:rsid w:val="009E1CDE"/>
    <w:rsid w:val="009E517A"/>
    <w:rsid w:val="009F57F5"/>
    <w:rsid w:val="00A011C3"/>
    <w:rsid w:val="00A154BB"/>
    <w:rsid w:val="00A31547"/>
    <w:rsid w:val="00A5607C"/>
    <w:rsid w:val="00A569AC"/>
    <w:rsid w:val="00A57337"/>
    <w:rsid w:val="00A6375E"/>
    <w:rsid w:val="00A7267B"/>
    <w:rsid w:val="00A74E05"/>
    <w:rsid w:val="00A807A8"/>
    <w:rsid w:val="00A80B88"/>
    <w:rsid w:val="00A80DAB"/>
    <w:rsid w:val="00A8347B"/>
    <w:rsid w:val="00A83E20"/>
    <w:rsid w:val="00AB476F"/>
    <w:rsid w:val="00AC2FC1"/>
    <w:rsid w:val="00AC55F7"/>
    <w:rsid w:val="00AC602D"/>
    <w:rsid w:val="00AC7D2C"/>
    <w:rsid w:val="00AD4186"/>
    <w:rsid w:val="00AE5BEF"/>
    <w:rsid w:val="00AF4EB0"/>
    <w:rsid w:val="00AF5AAC"/>
    <w:rsid w:val="00B003BA"/>
    <w:rsid w:val="00B028D0"/>
    <w:rsid w:val="00B43EC1"/>
    <w:rsid w:val="00B44128"/>
    <w:rsid w:val="00B650AA"/>
    <w:rsid w:val="00B66717"/>
    <w:rsid w:val="00B83855"/>
    <w:rsid w:val="00B86CC9"/>
    <w:rsid w:val="00B87E5F"/>
    <w:rsid w:val="00BA177B"/>
    <w:rsid w:val="00BA2F00"/>
    <w:rsid w:val="00BB069D"/>
    <w:rsid w:val="00BC4F6C"/>
    <w:rsid w:val="00BD4A25"/>
    <w:rsid w:val="00C01A09"/>
    <w:rsid w:val="00C3237F"/>
    <w:rsid w:val="00C55F49"/>
    <w:rsid w:val="00C75987"/>
    <w:rsid w:val="00C779EC"/>
    <w:rsid w:val="00C904E2"/>
    <w:rsid w:val="00C926F4"/>
    <w:rsid w:val="00CA2BB0"/>
    <w:rsid w:val="00CA4AF0"/>
    <w:rsid w:val="00CB28BD"/>
    <w:rsid w:val="00CD6D6A"/>
    <w:rsid w:val="00CF2616"/>
    <w:rsid w:val="00CF4E07"/>
    <w:rsid w:val="00D01179"/>
    <w:rsid w:val="00D13714"/>
    <w:rsid w:val="00D33E34"/>
    <w:rsid w:val="00D352A7"/>
    <w:rsid w:val="00D4626A"/>
    <w:rsid w:val="00D47B33"/>
    <w:rsid w:val="00D56C1F"/>
    <w:rsid w:val="00D64FF1"/>
    <w:rsid w:val="00D705F3"/>
    <w:rsid w:val="00D873D2"/>
    <w:rsid w:val="00DA5A0D"/>
    <w:rsid w:val="00DA60ED"/>
    <w:rsid w:val="00DB3468"/>
    <w:rsid w:val="00DB41F1"/>
    <w:rsid w:val="00DC3409"/>
    <w:rsid w:val="00DD62B6"/>
    <w:rsid w:val="00DE1B5E"/>
    <w:rsid w:val="00DE3C31"/>
    <w:rsid w:val="00DE4CFD"/>
    <w:rsid w:val="00E114D3"/>
    <w:rsid w:val="00E13AA2"/>
    <w:rsid w:val="00E15566"/>
    <w:rsid w:val="00E50B01"/>
    <w:rsid w:val="00E6132A"/>
    <w:rsid w:val="00E63C58"/>
    <w:rsid w:val="00E752F9"/>
    <w:rsid w:val="00E800DE"/>
    <w:rsid w:val="00E805E6"/>
    <w:rsid w:val="00E87911"/>
    <w:rsid w:val="00E92138"/>
    <w:rsid w:val="00EA63C8"/>
    <w:rsid w:val="00EB03BC"/>
    <w:rsid w:val="00EB1243"/>
    <w:rsid w:val="00EB1426"/>
    <w:rsid w:val="00EB45E3"/>
    <w:rsid w:val="00ED0477"/>
    <w:rsid w:val="00ED47B7"/>
    <w:rsid w:val="00ED4A0F"/>
    <w:rsid w:val="00EE7932"/>
    <w:rsid w:val="00F01A7E"/>
    <w:rsid w:val="00F051CC"/>
    <w:rsid w:val="00F13EE5"/>
    <w:rsid w:val="00F1668C"/>
    <w:rsid w:val="00F2310F"/>
    <w:rsid w:val="00F402C2"/>
    <w:rsid w:val="00F4528F"/>
    <w:rsid w:val="00F476FE"/>
    <w:rsid w:val="00F47DE4"/>
    <w:rsid w:val="00F518F4"/>
    <w:rsid w:val="00F55907"/>
    <w:rsid w:val="00F6488E"/>
    <w:rsid w:val="00F91263"/>
    <w:rsid w:val="00F94F16"/>
    <w:rsid w:val="00FA52AA"/>
    <w:rsid w:val="00FA5C0D"/>
    <w:rsid w:val="00FB065C"/>
    <w:rsid w:val="00FD049C"/>
    <w:rsid w:val="00FF5D09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C5DD"/>
  <w15:chartTrackingRefBased/>
  <w15:docId w15:val="{60112890-FC77-40C7-89FF-F5182B48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9AC"/>
    <w:pPr>
      <w:ind w:left="720"/>
      <w:contextualSpacing/>
    </w:pPr>
  </w:style>
  <w:style w:type="character" w:customStyle="1" w:styleId="tlid-translation">
    <w:name w:val="tlid-translation"/>
    <w:basedOn w:val="a0"/>
    <w:rsid w:val="00AB476F"/>
  </w:style>
  <w:style w:type="paragraph" w:styleId="a4">
    <w:name w:val="Balloon Text"/>
    <w:basedOn w:val="a"/>
    <w:link w:val="a5"/>
    <w:uiPriority w:val="99"/>
    <w:semiHidden/>
    <w:unhideWhenUsed/>
    <w:rsid w:val="006C1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98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47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D1D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ibliography"/>
    <w:basedOn w:val="a"/>
    <w:next w:val="a"/>
    <w:uiPriority w:val="37"/>
    <w:unhideWhenUsed/>
    <w:rsid w:val="009D1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Eri11</b:Tag>
    <b:SourceType>Report</b:SourceType>
    <b:Guid>{B4CC8334-ED24-4B68-9BFB-8F3693FCE009}</b:Guid>
    <b:Title>Operating Reserves and Variable Generation </b:Title>
    <b:Year>2011</b:Year>
    <b:Author>
      <b:Author>
        <b:Corporate>Erik Ela, Michael Milligan, and Brendan Kirby  </b:Corporate>
      </b:Author>
    </b:Author>
    <b:Publisher>Technical Report  NREL/TP-5500-51978 Contract No. DE-AC36-08GO28308</b:Publisher>
    <b:RefOrder>2</b:RefOrder>
  </b:Source>
  <b:Source>
    <b:Tag>Yan07</b:Tag>
    <b:SourceType>JournalArticle</b:SourceType>
    <b:Guid>{401A4B53-D162-41BE-BC36-517831716629}</b:Guid>
    <b:Title>A survey of frequency and voltage control ancillary services – Part I: technical features</b:Title>
    <b:Year>2007</b:Year>
    <b:Publisher>IEEE Transactions on Power Systems,</b:Publisher>
    <b:Author>
      <b:Author>
        <b:Corporate>Yann Rebours, D.s. Kirschen, Marc Trotignon, Sbastien Rossignol</b:Corporate>
      </b:Author>
    </b:Author>
    <b:JournalName>IEEE Transactions on Power Systems</b:JournalName>
    <b:Pages>350-357</b:Pages>
    <b:Volume>22</b:Volume>
    <b:Issue>1</b:Issue>
    <b:RefOrder>3</b:RefOrder>
  </b:Source>
  <b:Source>
    <b:Tag>Мет</b:Tag>
    <b:SourceType>ConferenceProceedings</b:SourceType>
    <b:Guid>{C820E533-09D6-46C3-9B80-6C49BB980066}</b:Guid>
    <b:Title>Методика определения минимально необходимых объемов резервов активной мощности ЕЭС России</b:Title>
    <b:JournalName>Москва 2014. С сайта ОАО «СО ЕЭС» www.so-ups.ru</b:JournalName>
    <b:ConferenceName>Москва 2014. С сайта ОАО «СО ЕЭС» www.so-ups.ru. https://so-ups.ru/fileadmin/files/company/markets/2014/metodika_opredelenija_1114.pdf</b:ConferenceName>
    <b:RefOrder>4</b:RefOrder>
  </b:Source>
  <b:Source>
    <b:Tag>Pet15</b:Tag>
    <b:SourceType>JournalArticle</b:SourceType>
    <b:Guid>{4E82C6E9-0A56-4088-8BCA-5B5FEAC4FD02}</b:Guid>
    <b:Title>Review of energy system flexibility measures to enable high levels of variable renewable electricity</b:Title>
    <b:Year>2015</b:Year>
    <b:Author>
      <b:Author>
        <b:Corporate>Peter D. Land, Juuso Lindgren, Jani Mikkola, Juri Salpakari</b:Corporate>
      </b:Author>
    </b:Author>
    <b:Pages>785-807</b:Pages>
    <b:Volume>45</b:Volume>
    <b:JournalName>Renewable and sustainable energy reviews</b:JournalName>
    <b:RefOrder>1</b:RefOrder>
  </b:Source>
  <b:Source>
    <b:Tag>Вла</b:Tag>
    <b:SourceType>ConferenceProceedings</b:SourceType>
    <b:Guid>{F5B9B25B-39CD-4740-A49F-1A5008018007}</b:Guid>
    <b:Title>Управление спросом в электроэнергетике России: открывающиеся возможности. Экспертно-аналитический доклад.  Инфраструктурный центр EnergyNet, </b:Title>
    <b:Author>
      <b:Author>
        <b:Corporate>Владимир Сидорович, Борис Бокарев, Игорь Чаусов, Максим Кулешов, Сергей Рычков, Илья Бурдин</b:Corporate>
      </b:Author>
    </b:Author>
    <b:Year>2019</b:Year>
    <b:ConferenceName>   https://energynet.ru/upload/EnergyNet_2019_PRINT.pdf</b:ConferenceName>
    <b:City>Москва</b:City>
    <b:Pages>100</b:Pages>
    <b:RefOrder>5</b:RefOrder>
  </b:Source>
  <b:Source>
    <b:Tag>htt</b:Tag>
    <b:SourceType>ConferenceProceedings</b:SourceType>
    <b:Guid>{691C2F80-AC07-47D0-B0B8-8F7DAF9A795F}</b:Guid>
    <b:Title>http://www.ic-art.ru/setevie_gibridnie/nakopiteli/</b:Title>
    <b:RefOrder>6</b:RefOrder>
  </b:Source>
</b:Sources>
</file>

<file path=customXml/itemProps1.xml><?xml version="1.0" encoding="utf-8"?>
<ds:datastoreItem xmlns:ds="http://schemas.openxmlformats.org/officeDocument/2006/customXml" ds:itemID="{6752A9FE-A99D-4ACA-A0F7-69E4F78A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2020-05-22T02:06:00Z</cp:lastPrinted>
  <dcterms:created xsi:type="dcterms:W3CDTF">2020-05-22T00:34:00Z</dcterms:created>
  <dcterms:modified xsi:type="dcterms:W3CDTF">2020-05-22T03:05:00Z</dcterms:modified>
</cp:coreProperties>
</file>