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C5B" w:rsidRPr="008E1D19" w:rsidRDefault="003539F0" w:rsidP="008E1D19">
      <w:pPr>
        <w:widowControl/>
        <w:autoSpaceDE/>
        <w:autoSpaceDN/>
        <w:spacing w:line="312" w:lineRule="auto"/>
        <w:jc w:val="center"/>
        <w:rPr>
          <w:rStyle w:val="hps"/>
          <w:b/>
          <w:sz w:val="24"/>
          <w:szCs w:val="24"/>
          <w:lang w:eastAsia="ru-RU" w:bidi="ar-SA"/>
        </w:rPr>
      </w:pPr>
      <w:r w:rsidRPr="008E1D19">
        <w:rPr>
          <w:rStyle w:val="hps"/>
          <w:b/>
          <w:sz w:val="24"/>
          <w:szCs w:val="24"/>
          <w:lang w:eastAsia="ru-RU" w:bidi="ar-SA"/>
        </w:rPr>
        <w:t>CIRCUIT-MODE FEATURES OF THE DISTRIBUTION NETWORK IN THE SAIDI AND SAIFI FORECAST</w:t>
      </w:r>
    </w:p>
    <w:p w:rsidR="00FF0C5B" w:rsidRPr="008E1D19" w:rsidRDefault="008C0D78" w:rsidP="008E1D19">
      <w:pPr>
        <w:widowControl/>
        <w:autoSpaceDE/>
        <w:autoSpaceDN/>
        <w:spacing w:line="312" w:lineRule="auto"/>
        <w:jc w:val="center"/>
        <w:rPr>
          <w:rStyle w:val="hps"/>
          <w:b/>
          <w:sz w:val="24"/>
          <w:szCs w:val="24"/>
          <w:lang w:eastAsia="ru-RU" w:bidi="ar-SA"/>
        </w:rPr>
      </w:pPr>
      <w:proofErr w:type="spellStart"/>
      <w:r w:rsidRPr="008E1D19">
        <w:rPr>
          <w:rStyle w:val="hps"/>
          <w:b/>
          <w:sz w:val="24"/>
          <w:szCs w:val="24"/>
          <w:lang w:eastAsia="ru-RU" w:bidi="ar-SA"/>
        </w:rPr>
        <w:t>Kakos</w:t>
      </w:r>
      <w:r w:rsidR="008E1D19">
        <w:rPr>
          <w:rStyle w:val="hps"/>
          <w:b/>
          <w:sz w:val="24"/>
          <w:szCs w:val="24"/>
          <w:lang w:eastAsia="ru-RU" w:bidi="ar-SA"/>
        </w:rPr>
        <w:t>h</w:t>
      </w:r>
      <w:r w:rsidRPr="008E1D19">
        <w:rPr>
          <w:rStyle w:val="hps"/>
          <w:b/>
          <w:sz w:val="24"/>
          <w:szCs w:val="24"/>
          <w:lang w:eastAsia="ru-RU" w:bidi="ar-SA"/>
        </w:rPr>
        <w:t>a</w:t>
      </w:r>
      <w:proofErr w:type="spellEnd"/>
      <w:r w:rsidRPr="008E1D19">
        <w:rPr>
          <w:rStyle w:val="hps"/>
          <w:b/>
          <w:sz w:val="24"/>
          <w:szCs w:val="24"/>
          <w:lang w:eastAsia="ru-RU" w:bidi="ar-SA"/>
        </w:rPr>
        <w:t xml:space="preserve"> Y. V., </w:t>
      </w:r>
      <w:proofErr w:type="spellStart"/>
      <w:r w:rsidRPr="008E1D19">
        <w:rPr>
          <w:rStyle w:val="hps"/>
          <w:b/>
          <w:sz w:val="24"/>
          <w:szCs w:val="24"/>
          <w:lang w:eastAsia="ru-RU" w:bidi="ar-SA"/>
        </w:rPr>
        <w:t>Myshkina</w:t>
      </w:r>
      <w:proofErr w:type="spellEnd"/>
      <w:r w:rsidRPr="008E1D19">
        <w:rPr>
          <w:rStyle w:val="hps"/>
          <w:b/>
          <w:sz w:val="24"/>
          <w:szCs w:val="24"/>
          <w:lang w:eastAsia="ru-RU" w:bidi="ar-SA"/>
        </w:rPr>
        <w:t xml:space="preserve"> </w:t>
      </w:r>
      <w:r w:rsidR="003539F0" w:rsidRPr="008E1D19">
        <w:rPr>
          <w:rStyle w:val="hps"/>
          <w:b/>
          <w:sz w:val="24"/>
          <w:szCs w:val="24"/>
          <w:lang w:eastAsia="ru-RU" w:bidi="ar-SA"/>
        </w:rPr>
        <w:t>L.</w:t>
      </w:r>
      <w:r w:rsidRPr="008E1D19">
        <w:rPr>
          <w:rStyle w:val="hps"/>
          <w:b/>
          <w:sz w:val="24"/>
          <w:szCs w:val="24"/>
          <w:lang w:eastAsia="ru-RU" w:bidi="ar-SA"/>
        </w:rPr>
        <w:t>S.</w:t>
      </w:r>
      <w:r w:rsidR="003539F0" w:rsidRPr="008E1D19">
        <w:rPr>
          <w:rStyle w:val="hps"/>
          <w:b/>
          <w:sz w:val="24"/>
          <w:szCs w:val="24"/>
          <w:lang w:eastAsia="ru-RU" w:bidi="ar-SA"/>
        </w:rPr>
        <w:t xml:space="preserve">, </w:t>
      </w:r>
      <w:bookmarkStart w:id="0" w:name="_GoBack"/>
      <w:proofErr w:type="spellStart"/>
      <w:r w:rsidR="003539F0" w:rsidRPr="008E1D19">
        <w:rPr>
          <w:rStyle w:val="hps"/>
          <w:b/>
          <w:sz w:val="24"/>
          <w:szCs w:val="24"/>
          <w:lang w:eastAsia="ru-RU" w:bidi="ar-SA"/>
        </w:rPr>
        <w:t>Sabadash</w:t>
      </w:r>
      <w:proofErr w:type="spellEnd"/>
      <w:r w:rsidR="003539F0" w:rsidRPr="008E1D19">
        <w:rPr>
          <w:rStyle w:val="hps"/>
          <w:b/>
          <w:sz w:val="24"/>
          <w:szCs w:val="24"/>
          <w:lang w:eastAsia="ru-RU" w:bidi="ar-SA"/>
        </w:rPr>
        <w:t xml:space="preserve"> </w:t>
      </w:r>
      <w:bookmarkEnd w:id="0"/>
      <w:r w:rsidR="003539F0" w:rsidRPr="008E1D19">
        <w:rPr>
          <w:rStyle w:val="hps"/>
          <w:b/>
          <w:sz w:val="24"/>
          <w:szCs w:val="24"/>
          <w:lang w:eastAsia="ru-RU" w:bidi="ar-SA"/>
        </w:rPr>
        <w:t>I. A.</w:t>
      </w:r>
    </w:p>
    <w:p w:rsidR="00FF0C5B" w:rsidRPr="005E124C" w:rsidRDefault="003539F0" w:rsidP="00A83ECC">
      <w:pPr>
        <w:widowControl/>
        <w:autoSpaceDE/>
        <w:autoSpaceDN/>
        <w:spacing w:line="312" w:lineRule="auto"/>
        <w:jc w:val="center"/>
        <w:rPr>
          <w:i/>
          <w:sz w:val="24"/>
          <w:szCs w:val="24"/>
          <w:lang w:eastAsia="ru-RU" w:bidi="ar-SA"/>
        </w:rPr>
      </w:pPr>
      <w:r w:rsidRPr="005E124C">
        <w:rPr>
          <w:i/>
          <w:sz w:val="24"/>
          <w:szCs w:val="24"/>
          <w:lang w:eastAsia="ru-RU" w:bidi="ar-SA"/>
        </w:rPr>
        <w:t>Novosibirsk State Technical University, Novosibirsk, Russia</w:t>
      </w:r>
    </w:p>
    <w:p w:rsidR="00FF0C5B" w:rsidRPr="005E124C" w:rsidRDefault="003539F0" w:rsidP="008E1D19">
      <w:pPr>
        <w:widowControl/>
        <w:autoSpaceDE/>
        <w:autoSpaceDN/>
        <w:ind w:firstLine="709"/>
        <w:jc w:val="both"/>
        <w:rPr>
          <w:sz w:val="24"/>
          <w:szCs w:val="24"/>
          <w:lang w:eastAsia="ru-RU" w:bidi="ar-SA"/>
        </w:rPr>
      </w:pPr>
      <w:r w:rsidRPr="005E124C">
        <w:rPr>
          <w:sz w:val="24"/>
          <w:szCs w:val="24"/>
          <w:lang w:eastAsia="ru-RU" w:bidi="ar-SA"/>
        </w:rPr>
        <w:t xml:space="preserve">The adoption of certain technical solutions at the design stage of the distribution network significantly affects the change in the indicators of </w:t>
      </w:r>
      <w:r w:rsidR="0093196B" w:rsidRPr="005E124C">
        <w:rPr>
          <w:sz w:val="24"/>
          <w:szCs w:val="24"/>
          <w:lang w:eastAsia="ru-RU" w:bidi="ar-SA"/>
        </w:rPr>
        <w:t>uninterrupted</w:t>
      </w:r>
      <w:r w:rsidRPr="005E124C">
        <w:rPr>
          <w:sz w:val="24"/>
          <w:szCs w:val="24"/>
          <w:lang w:eastAsia="ru-RU" w:bidi="ar-SA"/>
        </w:rPr>
        <w:t xml:space="preserve"> power supply to consumers. The main ones are SAIDI and SAIFI [1]. However, there is currently no methodological </w:t>
      </w:r>
      <w:r w:rsidR="0093196B" w:rsidRPr="005E124C">
        <w:rPr>
          <w:sz w:val="24"/>
          <w:szCs w:val="24"/>
          <w:lang w:eastAsia="ru-RU" w:bidi="ar-SA"/>
        </w:rPr>
        <w:t>support</w:t>
      </w:r>
      <w:r w:rsidRPr="005E124C">
        <w:rPr>
          <w:sz w:val="24"/>
          <w:szCs w:val="24"/>
          <w:lang w:eastAsia="ru-RU" w:bidi="ar-SA"/>
        </w:rPr>
        <w:t xml:space="preserve"> to determine them for the future. The development of an appropriate methodology and its implementation in design practice is necessary, especially important in connection with the appearance of distributed small generation, which has a significant impact on the circuit-mode conditions of power supply systems.</w:t>
      </w:r>
    </w:p>
    <w:p w:rsidR="00FF0C5B" w:rsidRPr="005E124C" w:rsidRDefault="003539F0" w:rsidP="008E1D19">
      <w:pPr>
        <w:widowControl/>
        <w:autoSpaceDE/>
        <w:autoSpaceDN/>
        <w:ind w:firstLine="709"/>
        <w:jc w:val="both"/>
        <w:rPr>
          <w:sz w:val="24"/>
          <w:szCs w:val="24"/>
          <w:lang w:eastAsia="ru-RU" w:bidi="ar-SA"/>
        </w:rPr>
      </w:pPr>
      <w:r w:rsidRPr="005E124C">
        <w:rPr>
          <w:sz w:val="24"/>
          <w:szCs w:val="24"/>
          <w:lang w:eastAsia="ru-RU" w:bidi="ar-SA"/>
        </w:rPr>
        <w:t xml:space="preserve">The practice of creating local power supply systems (LPSS) based on small generation and distribution networks by industrial enterprises is becoming widespread. It is obvious that with the advent of LPSS, they will serve as a basic element of distributed energy and the basis for a new energy </w:t>
      </w:r>
      <w:r w:rsidR="0093196B" w:rsidRPr="005E124C">
        <w:rPr>
          <w:sz w:val="24"/>
          <w:szCs w:val="24"/>
          <w:lang w:eastAsia="ru-RU" w:bidi="ar-SA"/>
        </w:rPr>
        <w:t>transition</w:t>
      </w:r>
      <w:r w:rsidRPr="005E124C">
        <w:rPr>
          <w:sz w:val="24"/>
          <w:szCs w:val="24"/>
          <w:lang w:eastAsia="ru-RU" w:bidi="ar-SA"/>
        </w:rPr>
        <w:t xml:space="preserve">, since their </w:t>
      </w:r>
      <w:r w:rsidR="0093196B" w:rsidRPr="005E124C">
        <w:rPr>
          <w:sz w:val="24"/>
          <w:szCs w:val="24"/>
          <w:lang w:eastAsia="ru-RU" w:bidi="ar-SA"/>
        </w:rPr>
        <w:t>appearance</w:t>
      </w:r>
      <w:r w:rsidRPr="005E124C">
        <w:rPr>
          <w:sz w:val="24"/>
          <w:szCs w:val="24"/>
          <w:lang w:eastAsia="ru-RU" w:bidi="ar-SA"/>
        </w:rPr>
        <w:t xml:space="preserve"> will increase the efficiency of energy [2, 3]. In particular, it will happen due to the increase in the reliability of power supply [4</w:t>
      </w:r>
      <w:proofErr w:type="gramStart"/>
      <w:r w:rsidRPr="005E124C">
        <w:rPr>
          <w:sz w:val="24"/>
          <w:szCs w:val="24"/>
          <w:lang w:eastAsia="ru-RU" w:bidi="ar-SA"/>
        </w:rPr>
        <w:t>,5</w:t>
      </w:r>
      <w:proofErr w:type="gramEnd"/>
      <w:r w:rsidRPr="005E124C">
        <w:rPr>
          <w:sz w:val="24"/>
          <w:szCs w:val="24"/>
          <w:lang w:eastAsia="ru-RU" w:bidi="ar-SA"/>
        </w:rPr>
        <w:t>]. However, without an appropriate research and development of methodological support for analyzing the impact of design solutions on the reliability of power supply, difficulties arise in justifying schemes for issuing small- scale generation power, the feasibility of measures to create local power systems and the effeciency of their integration.</w:t>
      </w:r>
    </w:p>
    <w:p w:rsidR="00FF0C5B" w:rsidRPr="005E124C" w:rsidRDefault="003539F0" w:rsidP="008E1D19">
      <w:pPr>
        <w:widowControl/>
        <w:autoSpaceDE/>
        <w:autoSpaceDN/>
        <w:ind w:firstLine="709"/>
        <w:jc w:val="both"/>
        <w:rPr>
          <w:sz w:val="24"/>
          <w:szCs w:val="24"/>
          <w:lang w:eastAsia="ru-RU" w:bidi="ar-SA"/>
        </w:rPr>
      </w:pPr>
      <w:r w:rsidRPr="005E124C">
        <w:rPr>
          <w:sz w:val="24"/>
          <w:szCs w:val="24"/>
          <w:lang w:eastAsia="ru-RU" w:bidi="ar-SA"/>
        </w:rPr>
        <w:t xml:space="preserve">The developed method is an addition to methodical instructions by calculation of the failure probability functional unit and units of the main technological equipment and evaluation of the impact of such refusal, approved by the order of the RF Ministry of energy 19.02.2019 No. 123 [6]. The methodology will allow </w:t>
      </w:r>
      <w:proofErr w:type="gramStart"/>
      <w:r w:rsidRPr="005E124C">
        <w:rPr>
          <w:sz w:val="24"/>
          <w:szCs w:val="24"/>
          <w:lang w:eastAsia="ru-RU" w:bidi="ar-SA"/>
        </w:rPr>
        <w:t>to determine</w:t>
      </w:r>
      <w:proofErr w:type="gramEnd"/>
      <w:r w:rsidRPr="005E124C">
        <w:rPr>
          <w:sz w:val="24"/>
          <w:szCs w:val="24"/>
          <w:lang w:eastAsia="ru-RU" w:bidi="ar-SA"/>
        </w:rPr>
        <w:t xml:space="preserve"> the most effective method from many possible ways of integration of local electricity supply system, including indices of technical state of equipment, structural and functional reliability of the distribution network and the existing security limitations, which is a necessary element of development management in the design.</w:t>
      </w:r>
    </w:p>
    <w:p w:rsidR="008E1D19" w:rsidRPr="008E1D19" w:rsidRDefault="008E1D19" w:rsidP="008E1D19">
      <w:pPr>
        <w:widowControl/>
        <w:autoSpaceDE/>
        <w:autoSpaceDN/>
        <w:spacing w:line="312" w:lineRule="auto"/>
        <w:jc w:val="center"/>
        <w:rPr>
          <w:b/>
          <w:sz w:val="24"/>
          <w:szCs w:val="24"/>
          <w:lang w:eastAsia="ru-RU" w:bidi="ar-SA"/>
        </w:rPr>
      </w:pPr>
      <w:r w:rsidRPr="008E1D19">
        <w:rPr>
          <w:b/>
          <w:sz w:val="24"/>
          <w:szCs w:val="24"/>
          <w:lang w:eastAsia="ru-RU" w:bidi="ar-SA"/>
        </w:rPr>
        <w:t>References</w:t>
      </w:r>
    </w:p>
    <w:p w:rsidR="003539F0" w:rsidRPr="003539F0" w:rsidRDefault="003539F0" w:rsidP="008E1D19">
      <w:pPr>
        <w:pStyle w:val="a4"/>
        <w:numPr>
          <w:ilvl w:val="0"/>
          <w:numId w:val="3"/>
        </w:numPr>
        <w:tabs>
          <w:tab w:val="left" w:pos="836"/>
          <w:tab w:val="left" w:pos="4778"/>
          <w:tab w:val="left" w:pos="9026"/>
        </w:tabs>
        <w:rPr>
          <w:spacing w:val="-3"/>
          <w:sz w:val="24"/>
        </w:rPr>
      </w:pPr>
      <w:r w:rsidRPr="003539F0">
        <w:rPr>
          <w:sz w:val="24"/>
        </w:rPr>
        <w:t>The Decree of the Government of the Russian Federation of 31.12.200 No. 1220 "on determining the reliability and quality indicators of the delivered goods and services used in setting</w:t>
      </w:r>
      <w:r w:rsidRPr="003539F0">
        <w:rPr>
          <w:sz w:val="24"/>
        </w:rPr>
        <w:tab/>
        <w:t>long-term</w:t>
      </w:r>
      <w:r w:rsidRPr="003539F0">
        <w:rPr>
          <w:sz w:val="24"/>
        </w:rPr>
        <w:tab/>
      </w:r>
      <w:r w:rsidRPr="003539F0">
        <w:rPr>
          <w:spacing w:val="-3"/>
          <w:sz w:val="24"/>
        </w:rPr>
        <w:t>tariffs".</w:t>
      </w:r>
    </w:p>
    <w:p w:rsidR="003539F0" w:rsidRPr="003539F0" w:rsidRDefault="003539F0" w:rsidP="008E1D19">
      <w:pPr>
        <w:pStyle w:val="a4"/>
        <w:numPr>
          <w:ilvl w:val="0"/>
          <w:numId w:val="3"/>
        </w:numPr>
        <w:tabs>
          <w:tab w:val="left" w:pos="836"/>
          <w:tab w:val="left" w:pos="4778"/>
          <w:tab w:val="left" w:pos="9026"/>
        </w:tabs>
        <w:rPr>
          <w:spacing w:val="-3"/>
          <w:sz w:val="24"/>
        </w:rPr>
      </w:pPr>
      <w:r w:rsidRPr="003539F0">
        <w:rPr>
          <w:sz w:val="24"/>
        </w:rPr>
        <w:t xml:space="preserve">"Innovative electric power industry-21" edited by </w:t>
      </w:r>
      <w:r w:rsidRPr="003539F0">
        <w:rPr>
          <w:spacing w:val="-16"/>
          <w:sz w:val="24"/>
        </w:rPr>
        <w:t xml:space="preserve">V. </w:t>
      </w:r>
      <w:r w:rsidRPr="003539F0">
        <w:rPr>
          <w:sz w:val="24"/>
        </w:rPr>
        <w:t xml:space="preserve">M. </w:t>
      </w:r>
      <w:proofErr w:type="spellStart"/>
      <w:r w:rsidRPr="003539F0">
        <w:rPr>
          <w:sz w:val="24"/>
        </w:rPr>
        <w:t>Batenin</w:t>
      </w:r>
      <w:proofErr w:type="spellEnd"/>
      <w:r w:rsidRPr="003539F0">
        <w:rPr>
          <w:sz w:val="24"/>
        </w:rPr>
        <w:t xml:space="preserve">, </w:t>
      </w:r>
      <w:r w:rsidRPr="003539F0">
        <w:rPr>
          <w:spacing w:val="-15"/>
          <w:sz w:val="24"/>
        </w:rPr>
        <w:t xml:space="preserve">V. </w:t>
      </w:r>
      <w:r w:rsidRPr="003539F0">
        <w:rPr>
          <w:spacing w:val="-16"/>
          <w:sz w:val="24"/>
        </w:rPr>
        <w:t xml:space="preserve">V. </w:t>
      </w:r>
      <w:proofErr w:type="spellStart"/>
      <w:r w:rsidRPr="003539F0">
        <w:rPr>
          <w:spacing w:val="-3"/>
          <w:sz w:val="24"/>
        </w:rPr>
        <w:t>Bushuev</w:t>
      </w:r>
      <w:proofErr w:type="spellEnd"/>
      <w:r w:rsidRPr="003539F0">
        <w:rPr>
          <w:spacing w:val="-3"/>
          <w:sz w:val="24"/>
        </w:rPr>
        <w:t xml:space="preserve">, </w:t>
      </w:r>
      <w:r w:rsidRPr="003539F0">
        <w:rPr>
          <w:sz w:val="24"/>
        </w:rPr>
        <w:t xml:space="preserve">N. I. </w:t>
      </w:r>
      <w:proofErr w:type="spellStart"/>
      <w:r w:rsidRPr="003539F0">
        <w:rPr>
          <w:spacing w:val="-7"/>
          <w:sz w:val="24"/>
        </w:rPr>
        <w:t>Voropay</w:t>
      </w:r>
      <w:proofErr w:type="spellEnd"/>
      <w:r w:rsidRPr="003539F0">
        <w:rPr>
          <w:spacing w:val="-7"/>
          <w:sz w:val="24"/>
        </w:rPr>
        <w:t xml:space="preserve">. </w:t>
      </w:r>
      <w:r w:rsidRPr="003539F0">
        <w:rPr>
          <w:sz w:val="24"/>
        </w:rPr>
        <w:t>- Moscow: IC "</w:t>
      </w:r>
      <w:proofErr w:type="spellStart"/>
      <w:r w:rsidRPr="003539F0">
        <w:rPr>
          <w:sz w:val="24"/>
        </w:rPr>
        <w:t>Energia</w:t>
      </w:r>
      <w:proofErr w:type="spellEnd"/>
      <w:r w:rsidRPr="003539F0">
        <w:rPr>
          <w:sz w:val="24"/>
        </w:rPr>
        <w:t>", 2017. - 584</w:t>
      </w:r>
      <w:r w:rsidRPr="003539F0">
        <w:rPr>
          <w:spacing w:val="24"/>
          <w:sz w:val="24"/>
        </w:rPr>
        <w:t xml:space="preserve"> </w:t>
      </w:r>
      <w:r w:rsidRPr="003539F0">
        <w:rPr>
          <w:sz w:val="24"/>
        </w:rPr>
        <w:t>p.</w:t>
      </w:r>
    </w:p>
    <w:p w:rsidR="003539F0" w:rsidRPr="003539F0" w:rsidRDefault="003539F0" w:rsidP="008E1D19">
      <w:pPr>
        <w:pStyle w:val="a4"/>
        <w:numPr>
          <w:ilvl w:val="0"/>
          <w:numId w:val="3"/>
        </w:numPr>
        <w:tabs>
          <w:tab w:val="left" w:pos="836"/>
          <w:tab w:val="left" w:pos="4778"/>
          <w:tab w:val="left" w:pos="9026"/>
        </w:tabs>
        <w:rPr>
          <w:spacing w:val="-3"/>
          <w:sz w:val="24"/>
        </w:rPr>
      </w:pPr>
      <w:proofErr w:type="spellStart"/>
      <w:r w:rsidRPr="003539F0">
        <w:rPr>
          <w:sz w:val="24"/>
        </w:rPr>
        <w:t>Khokhlov</w:t>
      </w:r>
      <w:proofErr w:type="spellEnd"/>
      <w:r w:rsidRPr="003539F0">
        <w:rPr>
          <w:sz w:val="24"/>
        </w:rPr>
        <w:t xml:space="preserve"> A., </w:t>
      </w:r>
      <w:proofErr w:type="spellStart"/>
      <w:r w:rsidRPr="003539F0">
        <w:rPr>
          <w:sz w:val="24"/>
        </w:rPr>
        <w:t>Melnikov</w:t>
      </w:r>
      <w:proofErr w:type="spellEnd"/>
      <w:r w:rsidRPr="003539F0">
        <w:rPr>
          <w:sz w:val="24"/>
        </w:rPr>
        <w:t xml:space="preserve"> </w:t>
      </w:r>
      <w:r w:rsidRPr="003539F0">
        <w:rPr>
          <w:spacing w:val="-7"/>
          <w:sz w:val="24"/>
        </w:rPr>
        <w:t xml:space="preserve">Yu., </w:t>
      </w:r>
      <w:proofErr w:type="spellStart"/>
      <w:r w:rsidRPr="003539F0">
        <w:rPr>
          <w:spacing w:val="-5"/>
          <w:sz w:val="24"/>
        </w:rPr>
        <w:t>Veselov</w:t>
      </w:r>
      <w:proofErr w:type="spellEnd"/>
      <w:r w:rsidRPr="003539F0">
        <w:rPr>
          <w:spacing w:val="-5"/>
          <w:sz w:val="24"/>
        </w:rPr>
        <w:t xml:space="preserve"> </w:t>
      </w:r>
      <w:r w:rsidRPr="003539F0">
        <w:rPr>
          <w:spacing w:val="-7"/>
          <w:sz w:val="24"/>
        </w:rPr>
        <w:t xml:space="preserve">F., </w:t>
      </w:r>
      <w:proofErr w:type="spellStart"/>
      <w:r w:rsidRPr="003539F0">
        <w:rPr>
          <w:sz w:val="24"/>
        </w:rPr>
        <w:t>holkin</w:t>
      </w:r>
      <w:proofErr w:type="spellEnd"/>
      <w:r w:rsidRPr="003539F0">
        <w:rPr>
          <w:sz w:val="24"/>
        </w:rPr>
        <w:t xml:space="preserve"> D., </w:t>
      </w:r>
      <w:proofErr w:type="spellStart"/>
      <w:r w:rsidRPr="003539F0">
        <w:rPr>
          <w:sz w:val="24"/>
        </w:rPr>
        <w:t>Datsko</w:t>
      </w:r>
      <w:proofErr w:type="spellEnd"/>
      <w:r w:rsidRPr="003539F0">
        <w:rPr>
          <w:sz w:val="24"/>
        </w:rPr>
        <w:t xml:space="preserve"> K. Distributed energy in Russia: development potential [Electronic resource] / / Energy management center of the Moscow school of management SKOLKOVO-2018, 87 p., - access Mode: </w:t>
      </w:r>
      <w:hyperlink r:id="rId5">
        <w:r w:rsidRPr="003539F0">
          <w:rPr>
            <w:sz w:val="24"/>
          </w:rPr>
          <w:t>http://www.energosovet.ru/stat/skolkovo_914.pdf</w:t>
        </w:r>
      </w:hyperlink>
    </w:p>
    <w:p w:rsidR="003539F0" w:rsidRPr="003539F0" w:rsidRDefault="003539F0" w:rsidP="008E1D19">
      <w:pPr>
        <w:pStyle w:val="a4"/>
        <w:numPr>
          <w:ilvl w:val="0"/>
          <w:numId w:val="3"/>
        </w:numPr>
        <w:tabs>
          <w:tab w:val="left" w:pos="836"/>
          <w:tab w:val="left" w:pos="4778"/>
          <w:tab w:val="left" w:pos="9026"/>
        </w:tabs>
        <w:rPr>
          <w:spacing w:val="-3"/>
          <w:sz w:val="24"/>
        </w:rPr>
      </w:pPr>
      <w:r w:rsidRPr="003539F0">
        <w:rPr>
          <w:spacing w:val="-10"/>
          <w:sz w:val="24"/>
        </w:rPr>
        <w:t xml:space="preserve">F. </w:t>
      </w:r>
      <w:r w:rsidRPr="003539F0">
        <w:rPr>
          <w:sz w:val="24"/>
        </w:rPr>
        <w:t xml:space="preserve">L. Byk, L. S. </w:t>
      </w:r>
      <w:proofErr w:type="spellStart"/>
      <w:r w:rsidRPr="003539F0">
        <w:rPr>
          <w:sz w:val="24"/>
        </w:rPr>
        <w:t>Myshkina</w:t>
      </w:r>
      <w:proofErr w:type="spellEnd"/>
      <w:r w:rsidRPr="003539F0">
        <w:rPr>
          <w:sz w:val="24"/>
        </w:rPr>
        <w:t xml:space="preserve">, I. A. </w:t>
      </w:r>
      <w:proofErr w:type="spellStart"/>
      <w:r w:rsidRPr="003539F0">
        <w:rPr>
          <w:sz w:val="24"/>
        </w:rPr>
        <w:t>Sabadash</w:t>
      </w:r>
      <w:proofErr w:type="spellEnd"/>
      <w:r w:rsidRPr="003539F0">
        <w:rPr>
          <w:sz w:val="24"/>
        </w:rPr>
        <w:t xml:space="preserve"> Efficiency of integration of local power systems / / electric power industry through the eyes of youth-2019: materials of </w:t>
      </w:r>
      <w:proofErr w:type="spellStart"/>
      <w:r w:rsidRPr="003539F0">
        <w:rPr>
          <w:sz w:val="24"/>
        </w:rPr>
        <w:t>yubil</w:t>
      </w:r>
      <w:proofErr w:type="spellEnd"/>
      <w:r w:rsidRPr="003539F0">
        <w:rPr>
          <w:sz w:val="24"/>
        </w:rPr>
        <w:t xml:space="preserve">. </w:t>
      </w:r>
      <w:proofErr w:type="gramStart"/>
      <w:r w:rsidRPr="003539F0">
        <w:rPr>
          <w:sz w:val="24"/>
        </w:rPr>
        <w:t>10</w:t>
      </w:r>
      <w:proofErr w:type="gramEnd"/>
      <w:r w:rsidRPr="003539F0">
        <w:rPr>
          <w:sz w:val="24"/>
        </w:rPr>
        <w:t xml:space="preserve"> international. </w:t>
      </w:r>
      <w:proofErr w:type="gramStart"/>
      <w:r w:rsidRPr="003539F0">
        <w:rPr>
          <w:sz w:val="24"/>
        </w:rPr>
        <w:t>youth</w:t>
      </w:r>
      <w:proofErr w:type="gramEnd"/>
      <w:r w:rsidRPr="003539F0">
        <w:rPr>
          <w:sz w:val="24"/>
        </w:rPr>
        <w:t>. science</w:t>
      </w:r>
      <w:proofErr w:type="gramStart"/>
      <w:r w:rsidRPr="003539F0">
        <w:rPr>
          <w:sz w:val="24"/>
        </w:rPr>
        <w:t>.-</w:t>
      </w:r>
      <w:proofErr w:type="gramEnd"/>
      <w:r w:rsidRPr="003539F0">
        <w:rPr>
          <w:sz w:val="24"/>
        </w:rPr>
        <w:t xml:space="preserve"> tech. Conf., Irkutsk, 16-20 Sept. 2019 3 – Irkutsk : publishing house</w:t>
      </w:r>
      <w:r w:rsidRPr="003539F0">
        <w:rPr>
          <w:spacing w:val="42"/>
          <w:sz w:val="24"/>
        </w:rPr>
        <w:t xml:space="preserve"> </w:t>
      </w:r>
      <w:r w:rsidRPr="003539F0">
        <w:rPr>
          <w:sz w:val="24"/>
        </w:rPr>
        <w:t>of</w:t>
      </w:r>
      <w:r w:rsidRPr="003539F0">
        <w:rPr>
          <w:spacing w:val="43"/>
          <w:sz w:val="24"/>
        </w:rPr>
        <w:t xml:space="preserve"> </w:t>
      </w:r>
      <w:r w:rsidRPr="003539F0">
        <w:rPr>
          <w:sz w:val="24"/>
        </w:rPr>
        <w:t>the</w:t>
      </w:r>
      <w:r w:rsidRPr="003539F0">
        <w:rPr>
          <w:spacing w:val="45"/>
          <w:sz w:val="24"/>
        </w:rPr>
        <w:t xml:space="preserve"> </w:t>
      </w:r>
      <w:r w:rsidRPr="003539F0">
        <w:rPr>
          <w:sz w:val="24"/>
        </w:rPr>
        <w:t>Irkutsk</w:t>
      </w:r>
      <w:r w:rsidRPr="003539F0">
        <w:rPr>
          <w:spacing w:val="43"/>
          <w:sz w:val="24"/>
        </w:rPr>
        <w:t xml:space="preserve"> </w:t>
      </w:r>
      <w:r w:rsidRPr="003539F0">
        <w:rPr>
          <w:sz w:val="24"/>
        </w:rPr>
        <w:t>national</w:t>
      </w:r>
      <w:r w:rsidRPr="003539F0">
        <w:rPr>
          <w:spacing w:val="42"/>
          <w:sz w:val="24"/>
        </w:rPr>
        <w:t xml:space="preserve"> </w:t>
      </w:r>
      <w:r w:rsidRPr="003539F0">
        <w:rPr>
          <w:sz w:val="24"/>
        </w:rPr>
        <w:t>research</w:t>
      </w:r>
      <w:r w:rsidRPr="003539F0">
        <w:rPr>
          <w:spacing w:val="45"/>
          <w:sz w:val="24"/>
        </w:rPr>
        <w:t xml:space="preserve"> </w:t>
      </w:r>
      <w:r w:rsidRPr="003539F0">
        <w:rPr>
          <w:sz w:val="24"/>
        </w:rPr>
        <w:t>technical</w:t>
      </w:r>
      <w:r w:rsidRPr="003539F0">
        <w:rPr>
          <w:spacing w:val="44"/>
          <w:sz w:val="24"/>
        </w:rPr>
        <w:t xml:space="preserve"> </w:t>
      </w:r>
      <w:r w:rsidRPr="003539F0">
        <w:rPr>
          <w:sz w:val="24"/>
        </w:rPr>
        <w:t>University,</w:t>
      </w:r>
      <w:r w:rsidRPr="003539F0">
        <w:rPr>
          <w:spacing w:val="45"/>
          <w:sz w:val="24"/>
        </w:rPr>
        <w:t xml:space="preserve"> </w:t>
      </w:r>
      <w:r w:rsidRPr="003539F0">
        <w:rPr>
          <w:sz w:val="24"/>
        </w:rPr>
        <w:t>2019.</w:t>
      </w:r>
      <w:r w:rsidRPr="003539F0">
        <w:rPr>
          <w:spacing w:val="43"/>
          <w:sz w:val="24"/>
        </w:rPr>
        <w:t xml:space="preserve"> </w:t>
      </w:r>
      <w:r w:rsidRPr="003539F0">
        <w:rPr>
          <w:sz w:val="24"/>
        </w:rPr>
        <w:t>-</w:t>
      </w:r>
      <w:r w:rsidRPr="003539F0">
        <w:rPr>
          <w:spacing w:val="38"/>
          <w:sz w:val="24"/>
        </w:rPr>
        <w:t xml:space="preserve"> </w:t>
      </w:r>
      <w:r w:rsidRPr="003539F0">
        <w:rPr>
          <w:spacing w:val="-9"/>
          <w:sz w:val="24"/>
        </w:rPr>
        <w:t>Vol.</w:t>
      </w:r>
      <w:r w:rsidRPr="003539F0">
        <w:rPr>
          <w:spacing w:val="-8"/>
          <w:sz w:val="24"/>
        </w:rPr>
        <w:t xml:space="preserve"> </w:t>
      </w:r>
      <w:r w:rsidRPr="003539F0">
        <w:rPr>
          <w:sz w:val="24"/>
        </w:rPr>
        <w:t>3.</w:t>
      </w:r>
      <w:r w:rsidRPr="003539F0">
        <w:rPr>
          <w:spacing w:val="43"/>
          <w:sz w:val="24"/>
        </w:rPr>
        <w:t xml:space="preserve"> </w:t>
      </w:r>
      <w:r w:rsidRPr="003539F0">
        <w:rPr>
          <w:sz w:val="24"/>
        </w:rPr>
        <w:t>-</w:t>
      </w:r>
      <w:r w:rsidRPr="003539F0">
        <w:rPr>
          <w:spacing w:val="43"/>
          <w:sz w:val="24"/>
        </w:rPr>
        <w:t xml:space="preserve"> </w:t>
      </w:r>
      <w:r w:rsidRPr="003539F0">
        <w:rPr>
          <w:sz w:val="24"/>
        </w:rPr>
        <w:t>Pp.</w:t>
      </w:r>
      <w:r w:rsidRPr="003539F0">
        <w:rPr>
          <w:spacing w:val="43"/>
          <w:sz w:val="24"/>
        </w:rPr>
        <w:t xml:space="preserve"> </w:t>
      </w:r>
      <w:r w:rsidRPr="003539F0">
        <w:rPr>
          <w:sz w:val="24"/>
        </w:rPr>
        <w:t>80-83.</w:t>
      </w:r>
    </w:p>
    <w:p w:rsidR="003539F0" w:rsidRPr="003539F0" w:rsidRDefault="003539F0" w:rsidP="008E1D19">
      <w:pPr>
        <w:pStyle w:val="a4"/>
        <w:numPr>
          <w:ilvl w:val="0"/>
          <w:numId w:val="3"/>
        </w:numPr>
        <w:tabs>
          <w:tab w:val="left" w:pos="836"/>
          <w:tab w:val="left" w:pos="4778"/>
          <w:tab w:val="left" w:pos="9026"/>
        </w:tabs>
        <w:rPr>
          <w:spacing w:val="-3"/>
          <w:sz w:val="24"/>
          <w:szCs w:val="24"/>
        </w:rPr>
      </w:pPr>
      <w:proofErr w:type="spellStart"/>
      <w:r w:rsidRPr="003539F0">
        <w:rPr>
          <w:sz w:val="24"/>
          <w:szCs w:val="24"/>
        </w:rPr>
        <w:t>Myshkina</w:t>
      </w:r>
      <w:proofErr w:type="spellEnd"/>
      <w:r w:rsidRPr="003539F0">
        <w:rPr>
          <w:sz w:val="24"/>
          <w:szCs w:val="24"/>
        </w:rPr>
        <w:t xml:space="preserve">, L. S. Small generation - a means of increasing the survivability of the power system. </w:t>
      </w:r>
      <w:proofErr w:type="spellStart"/>
      <w:r w:rsidRPr="003539F0">
        <w:rPr>
          <w:sz w:val="24"/>
          <w:szCs w:val="24"/>
        </w:rPr>
        <w:t>Izvestiya</w:t>
      </w:r>
      <w:proofErr w:type="spellEnd"/>
      <w:r w:rsidRPr="003539F0">
        <w:rPr>
          <w:sz w:val="24"/>
          <w:szCs w:val="24"/>
        </w:rPr>
        <w:t xml:space="preserve"> </w:t>
      </w:r>
      <w:proofErr w:type="spellStart"/>
      <w:r w:rsidRPr="003539F0">
        <w:rPr>
          <w:sz w:val="24"/>
          <w:szCs w:val="24"/>
        </w:rPr>
        <w:t>vysshikh</w:t>
      </w:r>
      <w:proofErr w:type="spellEnd"/>
      <w:r w:rsidRPr="003539F0">
        <w:rPr>
          <w:sz w:val="24"/>
          <w:szCs w:val="24"/>
        </w:rPr>
        <w:t xml:space="preserve"> </w:t>
      </w:r>
      <w:proofErr w:type="spellStart"/>
      <w:r w:rsidRPr="003539F0">
        <w:rPr>
          <w:sz w:val="24"/>
          <w:szCs w:val="24"/>
        </w:rPr>
        <w:t>uchebnykh</w:t>
      </w:r>
      <w:proofErr w:type="spellEnd"/>
      <w:r w:rsidRPr="003539F0">
        <w:rPr>
          <w:sz w:val="24"/>
          <w:szCs w:val="24"/>
        </w:rPr>
        <w:t xml:space="preserve"> </w:t>
      </w:r>
      <w:proofErr w:type="spellStart"/>
      <w:r w:rsidRPr="003539F0">
        <w:rPr>
          <w:spacing w:val="-3"/>
          <w:sz w:val="24"/>
          <w:szCs w:val="24"/>
        </w:rPr>
        <w:t>zavedeniy</w:t>
      </w:r>
      <w:proofErr w:type="spellEnd"/>
      <w:r w:rsidRPr="003539F0">
        <w:rPr>
          <w:spacing w:val="-3"/>
          <w:sz w:val="24"/>
          <w:szCs w:val="24"/>
        </w:rPr>
        <w:t xml:space="preserve">. </w:t>
      </w:r>
      <w:r w:rsidRPr="003539F0">
        <w:rPr>
          <w:sz w:val="24"/>
          <w:szCs w:val="24"/>
        </w:rPr>
        <w:t xml:space="preserve">Energy problem. - 2017. - </w:t>
      </w:r>
      <w:r w:rsidRPr="003539F0">
        <w:rPr>
          <w:spacing w:val="-8"/>
          <w:sz w:val="24"/>
          <w:szCs w:val="24"/>
        </w:rPr>
        <w:t xml:space="preserve">Vol. </w:t>
      </w:r>
      <w:r w:rsidRPr="003539F0">
        <w:rPr>
          <w:sz w:val="24"/>
          <w:szCs w:val="24"/>
        </w:rPr>
        <w:t>1, no. 1/2. - Pp. 23-30.</w:t>
      </w:r>
    </w:p>
    <w:p w:rsidR="008E1D19" w:rsidRDefault="003539F0" w:rsidP="008E1D19">
      <w:pPr>
        <w:pStyle w:val="a4"/>
        <w:numPr>
          <w:ilvl w:val="0"/>
          <w:numId w:val="3"/>
        </w:numPr>
        <w:tabs>
          <w:tab w:val="left" w:pos="836"/>
          <w:tab w:val="left" w:pos="4778"/>
          <w:tab w:val="left" w:pos="9026"/>
        </w:tabs>
        <w:rPr>
          <w:spacing w:val="-3"/>
          <w:sz w:val="24"/>
          <w:szCs w:val="24"/>
        </w:rPr>
      </w:pPr>
      <w:r w:rsidRPr="003539F0">
        <w:rPr>
          <w:sz w:val="24"/>
          <w:szCs w:val="24"/>
        </w:rPr>
        <w:t>The Order of the Russian Federation Ministry of  Energy of No. 123 dated 19.02.2019  " On approval of methodological guidelines for calculating the probability of failure of a functional node and a unit of basic technological equipment and assessing the consequences of the</w:t>
      </w:r>
      <w:r w:rsidRPr="003539F0">
        <w:rPr>
          <w:spacing w:val="1"/>
          <w:sz w:val="24"/>
          <w:szCs w:val="24"/>
        </w:rPr>
        <w:t xml:space="preserve"> </w:t>
      </w:r>
      <w:r w:rsidRPr="003539F0">
        <w:rPr>
          <w:sz w:val="24"/>
          <w:szCs w:val="24"/>
        </w:rPr>
        <w:t>failure»</w:t>
      </w:r>
    </w:p>
    <w:p w:rsidR="008E1D19" w:rsidRDefault="008E1D19">
      <w:pPr>
        <w:rPr>
          <w:spacing w:val="-3"/>
          <w:sz w:val="24"/>
          <w:szCs w:val="24"/>
        </w:rPr>
      </w:pPr>
      <w:r>
        <w:rPr>
          <w:spacing w:val="-3"/>
          <w:sz w:val="24"/>
          <w:szCs w:val="24"/>
        </w:rPr>
        <w:br w:type="page"/>
      </w:r>
    </w:p>
    <w:p w:rsidR="008E1D19" w:rsidRPr="008E1D19" w:rsidRDefault="008E1D19" w:rsidP="008E1D19">
      <w:pPr>
        <w:widowControl/>
        <w:autoSpaceDE/>
        <w:autoSpaceDN/>
        <w:spacing w:line="312" w:lineRule="auto"/>
        <w:jc w:val="center"/>
        <w:rPr>
          <w:b/>
          <w:sz w:val="24"/>
          <w:szCs w:val="24"/>
          <w:lang w:val="ru-RU" w:eastAsia="ru-RU" w:bidi="ar-SA"/>
        </w:rPr>
      </w:pPr>
      <w:r w:rsidRPr="008E1D19">
        <w:rPr>
          <w:b/>
          <w:sz w:val="24"/>
          <w:szCs w:val="24"/>
          <w:lang w:val="ru-RU" w:eastAsia="ru-RU" w:bidi="ar-SA"/>
        </w:rPr>
        <w:lastRenderedPageBreak/>
        <w:t xml:space="preserve">СХЕМНО-РЕЖИМНЫЕ ОСОБЕННОСТИ РАСПРЕДЕЛИТЕЛЬНОЙ СЕТИ ПРИ ПРОГНОЗЕ </w:t>
      </w:r>
      <w:r w:rsidRPr="008E1D19">
        <w:rPr>
          <w:b/>
          <w:sz w:val="24"/>
          <w:szCs w:val="24"/>
          <w:lang w:eastAsia="ru-RU" w:bidi="ar-SA"/>
        </w:rPr>
        <w:t>SAIDI</w:t>
      </w:r>
      <w:r w:rsidRPr="008E1D19">
        <w:rPr>
          <w:b/>
          <w:sz w:val="24"/>
          <w:szCs w:val="24"/>
          <w:lang w:val="ru-RU" w:eastAsia="ru-RU" w:bidi="ar-SA"/>
        </w:rPr>
        <w:t xml:space="preserve"> </w:t>
      </w:r>
      <w:proofErr w:type="gramStart"/>
      <w:r w:rsidRPr="008E1D19">
        <w:rPr>
          <w:b/>
          <w:sz w:val="24"/>
          <w:szCs w:val="24"/>
          <w:lang w:val="ru-RU" w:eastAsia="ru-RU" w:bidi="ar-SA"/>
        </w:rPr>
        <w:t>И</w:t>
      </w:r>
      <w:proofErr w:type="gramEnd"/>
      <w:r w:rsidRPr="008E1D19">
        <w:rPr>
          <w:b/>
          <w:sz w:val="24"/>
          <w:szCs w:val="24"/>
          <w:lang w:val="ru-RU" w:eastAsia="ru-RU" w:bidi="ar-SA"/>
        </w:rPr>
        <w:t xml:space="preserve"> </w:t>
      </w:r>
      <w:r w:rsidRPr="008E1D19">
        <w:rPr>
          <w:b/>
          <w:sz w:val="24"/>
          <w:szCs w:val="24"/>
          <w:lang w:eastAsia="ru-RU" w:bidi="ar-SA"/>
        </w:rPr>
        <w:t>SAIFI</w:t>
      </w:r>
    </w:p>
    <w:p w:rsidR="008E1D19" w:rsidRPr="008E1D19" w:rsidRDefault="008E1D19" w:rsidP="008E1D19">
      <w:pPr>
        <w:widowControl/>
        <w:autoSpaceDE/>
        <w:autoSpaceDN/>
        <w:spacing w:line="312" w:lineRule="auto"/>
        <w:jc w:val="center"/>
        <w:rPr>
          <w:b/>
          <w:sz w:val="24"/>
          <w:szCs w:val="24"/>
          <w:lang w:val="ru-RU" w:eastAsia="ru-RU" w:bidi="ar-SA"/>
        </w:rPr>
      </w:pPr>
      <w:r w:rsidRPr="008E1D19">
        <w:rPr>
          <w:b/>
          <w:sz w:val="24"/>
          <w:szCs w:val="24"/>
          <w:lang w:val="ru-RU" w:eastAsia="ru-RU" w:bidi="ar-SA"/>
        </w:rPr>
        <w:t>Какоша Ю.В., Мышкина Л.С., Сабадаш И.А.</w:t>
      </w:r>
    </w:p>
    <w:p w:rsidR="008E1D19" w:rsidRPr="008E1D19" w:rsidRDefault="008E1D19" w:rsidP="008E1D19">
      <w:pPr>
        <w:widowControl/>
        <w:autoSpaceDE/>
        <w:autoSpaceDN/>
        <w:spacing w:line="312" w:lineRule="auto"/>
        <w:jc w:val="center"/>
        <w:rPr>
          <w:i/>
          <w:sz w:val="24"/>
          <w:szCs w:val="24"/>
          <w:lang w:val="ru-RU" w:eastAsia="ru-RU" w:bidi="ar-SA"/>
        </w:rPr>
      </w:pPr>
      <w:r w:rsidRPr="008E1D19">
        <w:rPr>
          <w:i/>
          <w:sz w:val="24"/>
          <w:szCs w:val="24"/>
          <w:lang w:val="ru-RU" w:eastAsia="ru-RU" w:bidi="ar-SA"/>
        </w:rPr>
        <w:t>Новосибирский государственный технический университет, Новосибирск, Россия</w:t>
      </w:r>
    </w:p>
    <w:p w:rsidR="008E1D19" w:rsidRPr="008E1D19" w:rsidRDefault="008E1D19" w:rsidP="008E1D19">
      <w:pPr>
        <w:widowControl/>
        <w:autoSpaceDE/>
        <w:autoSpaceDN/>
        <w:ind w:firstLine="709"/>
        <w:jc w:val="both"/>
        <w:rPr>
          <w:sz w:val="24"/>
          <w:szCs w:val="24"/>
          <w:lang w:val="ru-RU" w:eastAsia="ru-RU" w:bidi="ar-SA"/>
        </w:rPr>
      </w:pPr>
      <w:r w:rsidRPr="008E1D19">
        <w:rPr>
          <w:sz w:val="24"/>
          <w:szCs w:val="24"/>
          <w:lang w:val="ru-RU" w:eastAsia="ru-RU" w:bidi="ar-SA"/>
        </w:rPr>
        <w:t xml:space="preserve">Принятие тех или иных технических решений на стадии проектирования распределительной сети значительно влияет на изменение показатели бесперебойности электроснабжения потребителей. В качестве основных можно выделить </w:t>
      </w:r>
      <w:r w:rsidRPr="008E1D19">
        <w:rPr>
          <w:sz w:val="24"/>
          <w:szCs w:val="24"/>
          <w:lang w:eastAsia="ru-RU" w:bidi="ar-SA"/>
        </w:rPr>
        <w:t>SAIDI</w:t>
      </w:r>
      <w:r w:rsidRPr="008E1D19">
        <w:rPr>
          <w:sz w:val="24"/>
          <w:szCs w:val="24"/>
          <w:lang w:val="ru-RU" w:eastAsia="ru-RU" w:bidi="ar-SA"/>
        </w:rPr>
        <w:t xml:space="preserve"> и </w:t>
      </w:r>
      <w:r w:rsidRPr="008E1D19">
        <w:rPr>
          <w:sz w:val="24"/>
          <w:szCs w:val="24"/>
          <w:lang w:eastAsia="ru-RU" w:bidi="ar-SA"/>
        </w:rPr>
        <w:t>SAIFI</w:t>
      </w:r>
      <w:r w:rsidRPr="008E1D19">
        <w:rPr>
          <w:sz w:val="24"/>
          <w:szCs w:val="24"/>
          <w:lang w:val="ru-RU" w:eastAsia="ru-RU" w:bidi="ar-SA"/>
        </w:rPr>
        <w:t xml:space="preserve"> [1]. Однако, методическое обеспечение для их определения на </w:t>
      </w:r>
      <w:proofErr w:type="gramStart"/>
      <w:r w:rsidRPr="008E1D19">
        <w:rPr>
          <w:sz w:val="24"/>
          <w:szCs w:val="24"/>
          <w:lang w:val="ru-RU" w:eastAsia="ru-RU" w:bidi="ar-SA"/>
        </w:rPr>
        <w:t>перспективу  в</w:t>
      </w:r>
      <w:proofErr w:type="gramEnd"/>
      <w:r w:rsidRPr="008E1D19">
        <w:rPr>
          <w:sz w:val="24"/>
          <w:szCs w:val="24"/>
          <w:lang w:val="ru-RU" w:eastAsia="ru-RU" w:bidi="ar-SA"/>
        </w:rPr>
        <w:t xml:space="preserve"> настоящее время отсутствует. Разработка соответствующей методики и ее внедрение в проектную практику необходимо, особенно актуально это в связи с появлением распределенной малой генерации, которая оказывает значительное влияние на схемно-режимные условия работы систем электроснабжения. </w:t>
      </w:r>
    </w:p>
    <w:p w:rsidR="008E1D19" w:rsidRPr="008E1D19" w:rsidRDefault="008E1D19" w:rsidP="008E1D19">
      <w:pPr>
        <w:widowControl/>
        <w:autoSpaceDE/>
        <w:autoSpaceDN/>
        <w:ind w:firstLine="709"/>
        <w:jc w:val="both"/>
        <w:rPr>
          <w:sz w:val="24"/>
          <w:szCs w:val="24"/>
          <w:lang w:val="ru-RU" w:eastAsia="ru-RU" w:bidi="ar-SA"/>
        </w:rPr>
      </w:pPr>
      <w:r w:rsidRPr="008E1D19">
        <w:rPr>
          <w:sz w:val="24"/>
          <w:szCs w:val="24"/>
          <w:lang w:val="ru-RU" w:eastAsia="ru-RU" w:bidi="ar-SA"/>
        </w:rPr>
        <w:t xml:space="preserve">Получает широкое распространение практика </w:t>
      </w:r>
      <w:proofErr w:type="gramStart"/>
      <w:r w:rsidRPr="008E1D19">
        <w:rPr>
          <w:sz w:val="24"/>
          <w:szCs w:val="24"/>
          <w:lang w:val="ru-RU" w:eastAsia="ru-RU" w:bidi="ar-SA"/>
        </w:rPr>
        <w:t>создания  промышленными</w:t>
      </w:r>
      <w:proofErr w:type="gramEnd"/>
      <w:r w:rsidRPr="008E1D19">
        <w:rPr>
          <w:sz w:val="24"/>
          <w:szCs w:val="24"/>
          <w:lang w:val="ru-RU" w:eastAsia="ru-RU" w:bidi="ar-SA"/>
        </w:rPr>
        <w:t xml:space="preserve"> предприятиями локальных систем электроснабжения (ЛСЭ) на основе малой генерации и распределительной сети.  Очевидно, что с появлением ЛСЭ, они будут служить базовым элементом распределенной энергетики и основой для нового энергетического перехода, т.к. с их появлением возрастет эффективность энергетики [2, 3]. В том числе за счет роста надежности электроснабжения [4,5]. Однако без соответствующих исследований и разработки методического обеспечения для анализа влияния проектных решений на надежность электроснабжения возникают сложности по обоснованию схем выдачи мощности малой генерации, целесообразности мероприятий по </w:t>
      </w:r>
      <w:proofErr w:type="gramStart"/>
      <w:r w:rsidRPr="008E1D19">
        <w:rPr>
          <w:sz w:val="24"/>
          <w:szCs w:val="24"/>
          <w:lang w:val="ru-RU" w:eastAsia="ru-RU" w:bidi="ar-SA"/>
        </w:rPr>
        <w:t>созданию  локальных</w:t>
      </w:r>
      <w:proofErr w:type="gramEnd"/>
      <w:r w:rsidRPr="008E1D19">
        <w:rPr>
          <w:sz w:val="24"/>
          <w:szCs w:val="24"/>
          <w:lang w:val="ru-RU" w:eastAsia="ru-RU" w:bidi="ar-SA"/>
        </w:rPr>
        <w:t xml:space="preserve"> энергосистем и эффективности их интеграции.</w:t>
      </w:r>
    </w:p>
    <w:p w:rsidR="008E1D19" w:rsidRPr="008E1D19" w:rsidRDefault="008E1D19" w:rsidP="008E1D19">
      <w:pPr>
        <w:widowControl/>
        <w:autoSpaceDE/>
        <w:autoSpaceDN/>
        <w:ind w:firstLine="709"/>
        <w:jc w:val="both"/>
        <w:rPr>
          <w:sz w:val="24"/>
          <w:szCs w:val="24"/>
          <w:lang w:val="ru-RU" w:eastAsia="ru-RU" w:bidi="ar-SA"/>
        </w:rPr>
      </w:pPr>
      <w:r w:rsidRPr="008E1D19">
        <w:rPr>
          <w:sz w:val="24"/>
          <w:szCs w:val="24"/>
          <w:lang w:val="ru-RU" w:eastAsia="ru-RU" w:bidi="ar-SA"/>
        </w:rPr>
        <w:t xml:space="preserve">Разрабатываемая методика, является дополнением к методическим указаниям по расчету вероятности отказа функционального узла и единицы основного технологического оборудования и оценки последствий такого отказа, утвержденными приказом Минэнерго России от 19.02.2019 № 123 [6]. Методика позволит из множества возможных способов интеграции локальных систем </w:t>
      </w:r>
      <w:proofErr w:type="gramStart"/>
      <w:r w:rsidRPr="008E1D19">
        <w:rPr>
          <w:sz w:val="24"/>
          <w:szCs w:val="24"/>
          <w:lang w:val="ru-RU" w:eastAsia="ru-RU" w:bidi="ar-SA"/>
        </w:rPr>
        <w:t>электроснабжения  определить</w:t>
      </w:r>
      <w:proofErr w:type="gramEnd"/>
      <w:r w:rsidRPr="008E1D19">
        <w:rPr>
          <w:sz w:val="24"/>
          <w:szCs w:val="24"/>
          <w:lang w:val="ru-RU" w:eastAsia="ru-RU" w:bidi="ar-SA"/>
        </w:rPr>
        <w:t xml:space="preserve"> наиболее эффективный, с учетом индексов технического состояния оборудования, структурной и функциональной надежности распределительной сети и имеющихся режимных ограничений, что является необходимым элементом управления развитием при проектировании.</w:t>
      </w:r>
    </w:p>
    <w:p w:rsidR="008E1D19" w:rsidRPr="008E1D19" w:rsidRDefault="008E1D19" w:rsidP="008E1D19">
      <w:pPr>
        <w:widowControl/>
        <w:autoSpaceDE/>
        <w:autoSpaceDN/>
        <w:spacing w:line="312" w:lineRule="auto"/>
        <w:jc w:val="center"/>
        <w:rPr>
          <w:b/>
          <w:sz w:val="24"/>
          <w:szCs w:val="24"/>
          <w:lang w:val="ru-RU" w:eastAsia="ru-RU" w:bidi="ar-SA"/>
        </w:rPr>
      </w:pPr>
      <w:r w:rsidRPr="008E1D19">
        <w:rPr>
          <w:b/>
          <w:sz w:val="24"/>
          <w:szCs w:val="24"/>
          <w:lang w:val="ru-RU" w:eastAsia="ru-RU" w:bidi="ar-SA"/>
        </w:rPr>
        <w:t>Литература</w:t>
      </w:r>
    </w:p>
    <w:p w:rsidR="008E1D19" w:rsidRPr="008E1D19" w:rsidRDefault="008E1D19" w:rsidP="008E1D19">
      <w:pPr>
        <w:widowControl/>
        <w:numPr>
          <w:ilvl w:val="0"/>
          <w:numId w:val="5"/>
        </w:numPr>
        <w:autoSpaceDE/>
        <w:autoSpaceDN/>
        <w:jc w:val="both"/>
        <w:rPr>
          <w:sz w:val="24"/>
          <w:szCs w:val="24"/>
          <w:lang w:val="ru-RU" w:eastAsia="ru-RU" w:bidi="ar-SA"/>
        </w:rPr>
      </w:pPr>
      <w:r w:rsidRPr="008E1D19">
        <w:rPr>
          <w:sz w:val="24"/>
          <w:szCs w:val="24"/>
          <w:lang w:val="ru-RU" w:eastAsia="ru-RU" w:bidi="ar-SA"/>
        </w:rPr>
        <w:t>Постановление Правительства Российской Федерации от 31.12.200 № 1220 «Об определении применяемых при установлении долгосрочных тарифов показателей надежности и качества поставляемых товаров и оказываемых услуг».</w:t>
      </w:r>
    </w:p>
    <w:p w:rsidR="008E1D19" w:rsidRPr="008E1D19" w:rsidRDefault="008E1D19" w:rsidP="008E1D19">
      <w:pPr>
        <w:widowControl/>
        <w:numPr>
          <w:ilvl w:val="0"/>
          <w:numId w:val="5"/>
        </w:numPr>
        <w:autoSpaceDE/>
        <w:autoSpaceDN/>
        <w:jc w:val="both"/>
        <w:rPr>
          <w:sz w:val="24"/>
          <w:szCs w:val="24"/>
          <w:lang w:val="ru-RU" w:eastAsia="ru-RU" w:bidi="ar-SA"/>
        </w:rPr>
      </w:pPr>
      <w:r w:rsidRPr="008E1D19">
        <w:rPr>
          <w:sz w:val="24"/>
          <w:szCs w:val="24"/>
          <w:lang w:val="ru-RU" w:eastAsia="ru-RU" w:bidi="ar-SA"/>
        </w:rPr>
        <w:t xml:space="preserve"> «Инновационная электроэнергетика – 21» под ред. В.М. </w:t>
      </w:r>
      <w:proofErr w:type="spellStart"/>
      <w:r w:rsidRPr="008E1D19">
        <w:rPr>
          <w:sz w:val="24"/>
          <w:szCs w:val="24"/>
          <w:lang w:val="ru-RU" w:eastAsia="ru-RU" w:bidi="ar-SA"/>
        </w:rPr>
        <w:t>Батенина</w:t>
      </w:r>
      <w:proofErr w:type="spellEnd"/>
      <w:r w:rsidRPr="008E1D19">
        <w:rPr>
          <w:sz w:val="24"/>
          <w:szCs w:val="24"/>
          <w:lang w:val="ru-RU" w:eastAsia="ru-RU" w:bidi="ar-SA"/>
        </w:rPr>
        <w:t xml:space="preserve">, В.В. Бушуева, Н.И. </w:t>
      </w:r>
      <w:proofErr w:type="spellStart"/>
      <w:r w:rsidRPr="008E1D19">
        <w:rPr>
          <w:sz w:val="24"/>
          <w:szCs w:val="24"/>
          <w:lang w:val="ru-RU" w:eastAsia="ru-RU" w:bidi="ar-SA"/>
        </w:rPr>
        <w:t>Воропая</w:t>
      </w:r>
      <w:proofErr w:type="spellEnd"/>
      <w:r w:rsidRPr="008E1D19">
        <w:rPr>
          <w:sz w:val="24"/>
          <w:szCs w:val="24"/>
          <w:lang w:val="ru-RU" w:eastAsia="ru-RU" w:bidi="ar-SA"/>
        </w:rPr>
        <w:t xml:space="preserve">. – М.: ИЦ «Энергия», 2017. – 584 с.  </w:t>
      </w:r>
    </w:p>
    <w:p w:rsidR="008E1D19" w:rsidRPr="008E1D19" w:rsidRDefault="008E1D19" w:rsidP="008E1D19">
      <w:pPr>
        <w:widowControl/>
        <w:numPr>
          <w:ilvl w:val="0"/>
          <w:numId w:val="5"/>
        </w:numPr>
        <w:autoSpaceDE/>
        <w:autoSpaceDN/>
        <w:jc w:val="both"/>
        <w:rPr>
          <w:sz w:val="24"/>
          <w:szCs w:val="24"/>
          <w:lang w:val="ru-RU" w:eastAsia="ru-RU" w:bidi="ar-SA"/>
        </w:rPr>
      </w:pPr>
      <w:r w:rsidRPr="008E1D19">
        <w:rPr>
          <w:sz w:val="24"/>
          <w:szCs w:val="24"/>
          <w:lang w:val="ru-RU" w:eastAsia="ru-RU" w:bidi="ar-SA"/>
        </w:rPr>
        <w:t xml:space="preserve">Хохлов А., Мельников Ю., Веселов Ф., Холкин Д., </w:t>
      </w:r>
      <w:proofErr w:type="spellStart"/>
      <w:r w:rsidRPr="008E1D19">
        <w:rPr>
          <w:sz w:val="24"/>
          <w:szCs w:val="24"/>
          <w:lang w:val="ru-RU" w:eastAsia="ru-RU" w:bidi="ar-SA"/>
        </w:rPr>
        <w:t>Дацко</w:t>
      </w:r>
      <w:proofErr w:type="spellEnd"/>
      <w:r w:rsidRPr="008E1D19">
        <w:rPr>
          <w:sz w:val="24"/>
          <w:szCs w:val="24"/>
          <w:lang w:val="ru-RU" w:eastAsia="ru-RU" w:bidi="ar-SA"/>
        </w:rPr>
        <w:t xml:space="preserve"> К. Распределенная энергетика в России: потенциал развития [Электронный ресурс] // Энергетический центр управления Московской школы управления </w:t>
      </w:r>
      <w:proofErr w:type="spellStart"/>
      <w:r w:rsidRPr="008E1D19">
        <w:rPr>
          <w:sz w:val="24"/>
          <w:szCs w:val="24"/>
          <w:lang w:val="ru-RU" w:eastAsia="ru-RU" w:bidi="ar-SA"/>
        </w:rPr>
        <w:t>Сколково</w:t>
      </w:r>
      <w:proofErr w:type="spellEnd"/>
      <w:r w:rsidRPr="008E1D19">
        <w:rPr>
          <w:sz w:val="24"/>
          <w:szCs w:val="24"/>
          <w:lang w:val="ru-RU" w:eastAsia="ru-RU" w:bidi="ar-SA"/>
        </w:rPr>
        <w:t xml:space="preserve"> – 2018, 87 с., - Режим доступа: http://www.energosovet.ru/stat/skolkovo_914.pdf</w:t>
      </w:r>
    </w:p>
    <w:p w:rsidR="008E1D19" w:rsidRPr="008E1D19" w:rsidRDefault="008E1D19" w:rsidP="008E1D19">
      <w:pPr>
        <w:widowControl/>
        <w:numPr>
          <w:ilvl w:val="0"/>
          <w:numId w:val="5"/>
        </w:numPr>
        <w:autoSpaceDE/>
        <w:autoSpaceDN/>
        <w:jc w:val="both"/>
        <w:rPr>
          <w:sz w:val="24"/>
          <w:szCs w:val="24"/>
          <w:lang w:val="ru-RU" w:eastAsia="ru-RU" w:bidi="ar-SA"/>
        </w:rPr>
      </w:pPr>
      <w:r w:rsidRPr="008E1D19">
        <w:rPr>
          <w:sz w:val="24"/>
          <w:szCs w:val="24"/>
          <w:lang w:val="ru-RU" w:eastAsia="ru-RU" w:bidi="ar-SA"/>
        </w:rPr>
        <w:t xml:space="preserve">Ф. Л. Бык, Л. С. Мышкина, И. А. Сабадаш Эффективность интеграции локальных энергосистем // Электроэнергетика глазами молодежи – </w:t>
      </w:r>
      <w:proofErr w:type="gramStart"/>
      <w:r w:rsidRPr="008E1D19">
        <w:rPr>
          <w:sz w:val="24"/>
          <w:szCs w:val="24"/>
          <w:lang w:val="ru-RU" w:eastAsia="ru-RU" w:bidi="ar-SA"/>
        </w:rPr>
        <w:t>2019 :</w:t>
      </w:r>
      <w:proofErr w:type="gramEnd"/>
      <w:r w:rsidRPr="008E1D19">
        <w:rPr>
          <w:sz w:val="24"/>
          <w:szCs w:val="24"/>
          <w:lang w:val="ru-RU" w:eastAsia="ru-RU" w:bidi="ar-SA"/>
        </w:rPr>
        <w:t xml:space="preserve"> материалы </w:t>
      </w:r>
      <w:proofErr w:type="spellStart"/>
      <w:r w:rsidRPr="008E1D19">
        <w:rPr>
          <w:sz w:val="24"/>
          <w:szCs w:val="24"/>
          <w:lang w:val="ru-RU" w:eastAsia="ru-RU" w:bidi="ar-SA"/>
        </w:rPr>
        <w:t>юбил</w:t>
      </w:r>
      <w:proofErr w:type="spellEnd"/>
      <w:r w:rsidRPr="008E1D19">
        <w:rPr>
          <w:sz w:val="24"/>
          <w:szCs w:val="24"/>
          <w:lang w:val="ru-RU" w:eastAsia="ru-RU" w:bidi="ar-SA"/>
        </w:rPr>
        <w:t xml:space="preserve">. 10 </w:t>
      </w:r>
      <w:proofErr w:type="spellStart"/>
      <w:r w:rsidRPr="008E1D19">
        <w:rPr>
          <w:sz w:val="24"/>
          <w:szCs w:val="24"/>
          <w:lang w:val="ru-RU" w:eastAsia="ru-RU" w:bidi="ar-SA"/>
        </w:rPr>
        <w:t>междунар</w:t>
      </w:r>
      <w:proofErr w:type="spellEnd"/>
      <w:r w:rsidRPr="008E1D19">
        <w:rPr>
          <w:sz w:val="24"/>
          <w:szCs w:val="24"/>
          <w:lang w:val="ru-RU" w:eastAsia="ru-RU" w:bidi="ar-SA"/>
        </w:rPr>
        <w:t xml:space="preserve">. </w:t>
      </w:r>
      <w:proofErr w:type="spellStart"/>
      <w:r w:rsidRPr="008E1D19">
        <w:rPr>
          <w:sz w:val="24"/>
          <w:szCs w:val="24"/>
          <w:lang w:val="ru-RU" w:eastAsia="ru-RU" w:bidi="ar-SA"/>
        </w:rPr>
        <w:t>молодеж</w:t>
      </w:r>
      <w:proofErr w:type="spellEnd"/>
      <w:r w:rsidRPr="008E1D19">
        <w:rPr>
          <w:sz w:val="24"/>
          <w:szCs w:val="24"/>
          <w:lang w:val="ru-RU" w:eastAsia="ru-RU" w:bidi="ar-SA"/>
        </w:rPr>
        <w:t xml:space="preserve">. науч.-техн. </w:t>
      </w:r>
      <w:proofErr w:type="spellStart"/>
      <w:r w:rsidRPr="008E1D19">
        <w:rPr>
          <w:sz w:val="24"/>
          <w:szCs w:val="24"/>
          <w:lang w:val="ru-RU" w:eastAsia="ru-RU" w:bidi="ar-SA"/>
        </w:rPr>
        <w:t>конф</w:t>
      </w:r>
      <w:proofErr w:type="spellEnd"/>
      <w:r w:rsidRPr="008E1D19">
        <w:rPr>
          <w:sz w:val="24"/>
          <w:szCs w:val="24"/>
          <w:lang w:val="ru-RU" w:eastAsia="ru-RU" w:bidi="ar-SA"/>
        </w:rPr>
        <w:t xml:space="preserve">., Иркутск, 16–20 сент. 2019 г. В 3 т. – </w:t>
      </w:r>
      <w:proofErr w:type="gramStart"/>
      <w:r w:rsidRPr="008E1D19">
        <w:rPr>
          <w:sz w:val="24"/>
          <w:szCs w:val="24"/>
          <w:lang w:val="ru-RU" w:eastAsia="ru-RU" w:bidi="ar-SA"/>
        </w:rPr>
        <w:t>Иркутск :</w:t>
      </w:r>
      <w:proofErr w:type="gramEnd"/>
      <w:r w:rsidRPr="008E1D19">
        <w:rPr>
          <w:sz w:val="24"/>
          <w:szCs w:val="24"/>
          <w:lang w:val="ru-RU" w:eastAsia="ru-RU" w:bidi="ar-SA"/>
        </w:rPr>
        <w:t xml:space="preserve"> Изд-во ИРНИТУ, 2019. – Т. 3. – С. 80–83.</w:t>
      </w:r>
    </w:p>
    <w:p w:rsidR="008E1D19" w:rsidRPr="008E1D19" w:rsidRDefault="008E1D19" w:rsidP="008E1D19">
      <w:pPr>
        <w:widowControl/>
        <w:numPr>
          <w:ilvl w:val="0"/>
          <w:numId w:val="5"/>
        </w:numPr>
        <w:autoSpaceDE/>
        <w:autoSpaceDN/>
        <w:jc w:val="both"/>
        <w:rPr>
          <w:sz w:val="24"/>
          <w:szCs w:val="24"/>
          <w:lang w:val="ru-RU" w:eastAsia="ru-RU" w:bidi="ar-SA"/>
        </w:rPr>
      </w:pPr>
      <w:r w:rsidRPr="008E1D19">
        <w:rPr>
          <w:sz w:val="24"/>
          <w:szCs w:val="24"/>
          <w:lang w:val="ru-RU" w:eastAsia="ru-RU" w:bidi="ar-SA"/>
        </w:rPr>
        <w:t xml:space="preserve">Мышкина, Л.С. Малая генерация - средство повышения живучести энергосистемы // Известия высших учебных заведений. Проблемы энергетики. - 2017. - Т. </w:t>
      </w:r>
      <w:proofErr w:type="gramStart"/>
      <w:r w:rsidRPr="008E1D19">
        <w:rPr>
          <w:sz w:val="24"/>
          <w:szCs w:val="24"/>
          <w:lang w:val="ru-RU" w:eastAsia="ru-RU" w:bidi="ar-SA"/>
        </w:rPr>
        <w:t>1 ,</w:t>
      </w:r>
      <w:proofErr w:type="gramEnd"/>
      <w:r w:rsidRPr="008E1D19">
        <w:rPr>
          <w:sz w:val="24"/>
          <w:szCs w:val="24"/>
          <w:lang w:val="ru-RU" w:eastAsia="ru-RU" w:bidi="ar-SA"/>
        </w:rPr>
        <w:t xml:space="preserve"> №1/2. - С. 23-30.</w:t>
      </w:r>
    </w:p>
    <w:p w:rsidR="008E1D19" w:rsidRPr="008E1D19" w:rsidRDefault="008E1D19" w:rsidP="008E1D19">
      <w:pPr>
        <w:widowControl/>
        <w:numPr>
          <w:ilvl w:val="0"/>
          <w:numId w:val="5"/>
        </w:numPr>
        <w:autoSpaceDE/>
        <w:autoSpaceDN/>
        <w:jc w:val="both"/>
        <w:rPr>
          <w:sz w:val="24"/>
          <w:szCs w:val="24"/>
          <w:lang w:val="ru-RU" w:eastAsia="ru-RU" w:bidi="ar-SA"/>
        </w:rPr>
      </w:pPr>
      <w:r w:rsidRPr="008E1D19">
        <w:rPr>
          <w:sz w:val="24"/>
          <w:szCs w:val="24"/>
          <w:lang w:val="ru-RU" w:eastAsia="ru-RU" w:bidi="ar-SA"/>
        </w:rPr>
        <w:t>Приказ Минэнерго России от 19.02.2019 № 123 «Об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w:t>
      </w:r>
    </w:p>
    <w:p w:rsidR="008E1D19" w:rsidRPr="008E1D19" w:rsidRDefault="008E1D19" w:rsidP="008E1D19">
      <w:pPr>
        <w:pStyle w:val="a4"/>
        <w:tabs>
          <w:tab w:val="left" w:pos="836"/>
          <w:tab w:val="left" w:pos="4778"/>
          <w:tab w:val="left" w:pos="9026"/>
        </w:tabs>
        <w:ind w:left="720"/>
        <w:rPr>
          <w:spacing w:val="-3"/>
          <w:sz w:val="24"/>
          <w:szCs w:val="24"/>
          <w:lang w:val="ru-RU"/>
        </w:rPr>
      </w:pPr>
    </w:p>
    <w:sectPr w:rsidR="008E1D19" w:rsidRPr="008E1D19" w:rsidSect="00815C63">
      <w:type w:val="continuous"/>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3420"/>
    <w:multiLevelType w:val="hybridMultilevel"/>
    <w:tmpl w:val="F14CA9F2"/>
    <w:lvl w:ilvl="0" w:tplc="2F52A8EE">
      <w:start w:val="1"/>
      <w:numFmt w:val="decimal"/>
      <w:lvlText w:val="%1."/>
      <w:lvlJc w:val="left"/>
      <w:pPr>
        <w:ind w:left="836" w:hanging="360"/>
        <w:jc w:val="right"/>
      </w:pPr>
      <w:rPr>
        <w:rFonts w:ascii="Times New Roman" w:eastAsia="Times New Roman" w:hAnsi="Times New Roman" w:cs="Times New Roman" w:hint="default"/>
        <w:spacing w:val="-24"/>
        <w:w w:val="100"/>
        <w:sz w:val="24"/>
        <w:szCs w:val="24"/>
        <w:lang w:val="en-US" w:eastAsia="en-US" w:bidi="en-US"/>
      </w:rPr>
    </w:lvl>
    <w:lvl w:ilvl="1" w:tplc="2AA0BC8E">
      <w:numFmt w:val="bullet"/>
      <w:lvlText w:val="•"/>
      <w:lvlJc w:val="left"/>
      <w:pPr>
        <w:ind w:left="1742" w:hanging="360"/>
      </w:pPr>
      <w:rPr>
        <w:rFonts w:hint="default"/>
        <w:lang w:val="en-US" w:eastAsia="en-US" w:bidi="en-US"/>
      </w:rPr>
    </w:lvl>
    <w:lvl w:ilvl="2" w:tplc="109A422E">
      <w:numFmt w:val="bullet"/>
      <w:lvlText w:val="•"/>
      <w:lvlJc w:val="left"/>
      <w:pPr>
        <w:ind w:left="2644" w:hanging="360"/>
      </w:pPr>
      <w:rPr>
        <w:rFonts w:hint="default"/>
        <w:lang w:val="en-US" w:eastAsia="en-US" w:bidi="en-US"/>
      </w:rPr>
    </w:lvl>
    <w:lvl w:ilvl="3" w:tplc="42E23598">
      <w:numFmt w:val="bullet"/>
      <w:lvlText w:val="•"/>
      <w:lvlJc w:val="left"/>
      <w:pPr>
        <w:ind w:left="3546" w:hanging="360"/>
      </w:pPr>
      <w:rPr>
        <w:rFonts w:hint="default"/>
        <w:lang w:val="en-US" w:eastAsia="en-US" w:bidi="en-US"/>
      </w:rPr>
    </w:lvl>
    <w:lvl w:ilvl="4" w:tplc="8D825C7C">
      <w:numFmt w:val="bullet"/>
      <w:lvlText w:val="•"/>
      <w:lvlJc w:val="left"/>
      <w:pPr>
        <w:ind w:left="4448" w:hanging="360"/>
      </w:pPr>
      <w:rPr>
        <w:rFonts w:hint="default"/>
        <w:lang w:val="en-US" w:eastAsia="en-US" w:bidi="en-US"/>
      </w:rPr>
    </w:lvl>
    <w:lvl w:ilvl="5" w:tplc="65A8700A">
      <w:numFmt w:val="bullet"/>
      <w:lvlText w:val="•"/>
      <w:lvlJc w:val="left"/>
      <w:pPr>
        <w:ind w:left="5350" w:hanging="360"/>
      </w:pPr>
      <w:rPr>
        <w:rFonts w:hint="default"/>
        <w:lang w:val="en-US" w:eastAsia="en-US" w:bidi="en-US"/>
      </w:rPr>
    </w:lvl>
    <w:lvl w:ilvl="6" w:tplc="9B10588E">
      <w:numFmt w:val="bullet"/>
      <w:lvlText w:val="•"/>
      <w:lvlJc w:val="left"/>
      <w:pPr>
        <w:ind w:left="6252" w:hanging="360"/>
      </w:pPr>
      <w:rPr>
        <w:rFonts w:hint="default"/>
        <w:lang w:val="en-US" w:eastAsia="en-US" w:bidi="en-US"/>
      </w:rPr>
    </w:lvl>
    <w:lvl w:ilvl="7" w:tplc="D5C20648">
      <w:numFmt w:val="bullet"/>
      <w:lvlText w:val="•"/>
      <w:lvlJc w:val="left"/>
      <w:pPr>
        <w:ind w:left="7154" w:hanging="360"/>
      </w:pPr>
      <w:rPr>
        <w:rFonts w:hint="default"/>
        <w:lang w:val="en-US" w:eastAsia="en-US" w:bidi="en-US"/>
      </w:rPr>
    </w:lvl>
    <w:lvl w:ilvl="8" w:tplc="51C6B126">
      <w:numFmt w:val="bullet"/>
      <w:lvlText w:val="•"/>
      <w:lvlJc w:val="left"/>
      <w:pPr>
        <w:ind w:left="8056" w:hanging="360"/>
      </w:pPr>
      <w:rPr>
        <w:rFonts w:hint="default"/>
        <w:lang w:val="en-US" w:eastAsia="en-US" w:bidi="en-US"/>
      </w:rPr>
    </w:lvl>
  </w:abstractNum>
  <w:abstractNum w:abstractNumId="1" w15:restartNumberingAfterBreak="0">
    <w:nsid w:val="21160596"/>
    <w:multiLevelType w:val="hybridMultilevel"/>
    <w:tmpl w:val="125C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0E0BE3"/>
    <w:multiLevelType w:val="hybridMultilevel"/>
    <w:tmpl w:val="82043E00"/>
    <w:lvl w:ilvl="0" w:tplc="2F52A8EE">
      <w:start w:val="1"/>
      <w:numFmt w:val="decimal"/>
      <w:lvlText w:val="%1."/>
      <w:lvlJc w:val="left"/>
      <w:pPr>
        <w:ind w:left="836" w:hanging="360"/>
        <w:jc w:val="right"/>
      </w:pPr>
      <w:rPr>
        <w:rFonts w:ascii="Times New Roman" w:eastAsia="Times New Roman" w:hAnsi="Times New Roman" w:cs="Times New Roman" w:hint="default"/>
        <w:spacing w:val="-24"/>
        <w:w w:val="100"/>
        <w:sz w:val="24"/>
        <w:szCs w:val="24"/>
        <w:lang w:val="en-US" w:eastAsia="en-US" w:bidi="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126540"/>
    <w:multiLevelType w:val="hybridMultilevel"/>
    <w:tmpl w:val="F544BEAE"/>
    <w:lvl w:ilvl="0" w:tplc="B42EEF04">
      <w:start w:val="3"/>
      <w:numFmt w:val="decimal"/>
      <w:lvlText w:val="%1."/>
      <w:lvlJc w:val="left"/>
      <w:pPr>
        <w:ind w:left="1196" w:hanging="360"/>
      </w:pPr>
      <w:rPr>
        <w:rFonts w:hint="default"/>
      </w:rPr>
    </w:lvl>
    <w:lvl w:ilvl="1" w:tplc="04190019" w:tentative="1">
      <w:start w:val="1"/>
      <w:numFmt w:val="lowerLetter"/>
      <w:lvlText w:val="%2."/>
      <w:lvlJc w:val="left"/>
      <w:pPr>
        <w:ind w:left="1916" w:hanging="360"/>
      </w:p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4" w15:restartNumberingAfterBreak="0">
    <w:nsid w:val="7D405F7C"/>
    <w:multiLevelType w:val="hybridMultilevel"/>
    <w:tmpl w:val="A69644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5B"/>
    <w:rsid w:val="003539F0"/>
    <w:rsid w:val="005E124C"/>
    <w:rsid w:val="00747AC9"/>
    <w:rsid w:val="00815C63"/>
    <w:rsid w:val="008C0D78"/>
    <w:rsid w:val="008E1D19"/>
    <w:rsid w:val="0093196B"/>
    <w:rsid w:val="00A83ECC"/>
    <w:rsid w:val="00FF0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4D14F-1136-4890-B86D-BC49B244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15C63"/>
    <w:rPr>
      <w:rFonts w:ascii="Times New Roman" w:eastAsia="Times New Roman" w:hAnsi="Times New Roman" w:cs="Times New Roman"/>
      <w:lang w:bidi="en-US"/>
    </w:rPr>
  </w:style>
  <w:style w:type="paragraph" w:styleId="1">
    <w:name w:val="heading 1"/>
    <w:basedOn w:val="a"/>
    <w:uiPriority w:val="1"/>
    <w:qFormat/>
    <w:rsid w:val="00815C63"/>
    <w:pPr>
      <w:ind w:left="160" w:right="10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15C63"/>
    <w:tblPr>
      <w:tblInd w:w="0" w:type="dxa"/>
      <w:tblCellMar>
        <w:top w:w="0" w:type="dxa"/>
        <w:left w:w="0" w:type="dxa"/>
        <w:bottom w:w="0" w:type="dxa"/>
        <w:right w:w="0" w:type="dxa"/>
      </w:tblCellMar>
    </w:tblPr>
  </w:style>
  <w:style w:type="paragraph" w:styleId="a3">
    <w:name w:val="Body Text"/>
    <w:basedOn w:val="a"/>
    <w:uiPriority w:val="1"/>
    <w:qFormat/>
    <w:rsid w:val="00815C63"/>
    <w:pPr>
      <w:ind w:left="836"/>
      <w:jc w:val="both"/>
    </w:pPr>
    <w:rPr>
      <w:sz w:val="24"/>
      <w:szCs w:val="24"/>
    </w:rPr>
  </w:style>
  <w:style w:type="paragraph" w:styleId="a4">
    <w:name w:val="List Paragraph"/>
    <w:basedOn w:val="a"/>
    <w:uiPriority w:val="1"/>
    <w:qFormat/>
    <w:rsid w:val="00815C63"/>
    <w:pPr>
      <w:ind w:left="836" w:right="103"/>
      <w:jc w:val="both"/>
    </w:pPr>
  </w:style>
  <w:style w:type="paragraph" w:customStyle="1" w:styleId="TableParagraph">
    <w:name w:val="Table Paragraph"/>
    <w:basedOn w:val="a"/>
    <w:uiPriority w:val="1"/>
    <w:qFormat/>
    <w:rsid w:val="00815C63"/>
  </w:style>
  <w:style w:type="character" w:customStyle="1" w:styleId="hps">
    <w:name w:val="hps"/>
    <w:basedOn w:val="a0"/>
    <w:rsid w:val="008E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ergosovet.ru/stat/skolkovo_9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1083</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В. Какоша</dc:creator>
  <cp:lastModifiedBy>Юрий В. Какоша</cp:lastModifiedBy>
  <cp:revision>2</cp:revision>
  <dcterms:created xsi:type="dcterms:W3CDTF">2020-03-12T05:42:00Z</dcterms:created>
  <dcterms:modified xsi:type="dcterms:W3CDTF">2020-03-12T05:42:00Z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2020-03-03T00:00:00Z</vt:filetime>
  </property>
</Properties>
</file>