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D0F6C" w:rsidRPr="00DD08CA" w:rsidRDefault="00757E78" w:rsidP="00FB04B9">
      <w:pPr>
        <w:spacing w:before="1247" w:after="340"/>
        <w:ind w:right="-176"/>
        <w:rPr>
          <w:rFonts w:ascii="Arial" w:hAnsi="Arial" w:cs="Arial"/>
          <w:b/>
          <w:sz w:val="32"/>
          <w:szCs w:val="32"/>
          <w:lang w:val="en-GB"/>
        </w:rPr>
      </w:pPr>
      <w:r>
        <w:rPr>
          <w:rFonts w:ascii="Arial" w:hAnsi="Arial" w:cs="Arial"/>
          <w:b/>
          <w:sz w:val="32"/>
          <w:szCs w:val="32"/>
          <w:lang w:val="en-GB"/>
        </w:rPr>
        <w:t>Reserves</w:t>
      </w:r>
      <w:r w:rsidR="00E636F8">
        <w:rPr>
          <w:rFonts w:ascii="Arial" w:hAnsi="Arial" w:cs="Arial"/>
          <w:b/>
          <w:sz w:val="32"/>
          <w:szCs w:val="32"/>
          <w:lang w:val="en-US"/>
        </w:rPr>
        <w:t xml:space="preserve"> of Generating Capacity</w:t>
      </w:r>
      <w:r w:rsidR="00E636F8" w:rsidRPr="00E636F8">
        <w:rPr>
          <w:rFonts w:ascii="Arial" w:hAnsi="Arial" w:cs="Arial"/>
          <w:b/>
          <w:sz w:val="32"/>
          <w:szCs w:val="32"/>
          <w:lang w:val="en-GB"/>
        </w:rPr>
        <w:t xml:space="preserve"> </w:t>
      </w:r>
      <w:r w:rsidR="00164D97">
        <w:rPr>
          <w:rFonts w:ascii="Arial" w:hAnsi="Arial" w:cs="Arial"/>
          <w:b/>
          <w:sz w:val="32"/>
          <w:szCs w:val="32"/>
          <w:lang w:val="en-GB"/>
        </w:rPr>
        <w:t xml:space="preserve">for Perspective Planning of Development of the Unified Energy System of </w:t>
      </w:r>
      <w:r w:rsidR="00164D97" w:rsidRPr="00164D97">
        <w:rPr>
          <w:rFonts w:ascii="Arial" w:hAnsi="Arial" w:cs="Arial"/>
          <w:b/>
          <w:sz w:val="32"/>
          <w:szCs w:val="32"/>
          <w:lang w:val="en-GB"/>
        </w:rPr>
        <w:t>R</w:t>
      </w:r>
      <w:r w:rsidR="00164D97">
        <w:rPr>
          <w:rFonts w:ascii="Arial" w:hAnsi="Arial" w:cs="Arial"/>
          <w:b/>
          <w:sz w:val="32"/>
          <w:szCs w:val="32"/>
          <w:lang w:val="en-GB"/>
        </w:rPr>
        <w:t>ussia</w:t>
      </w:r>
    </w:p>
    <w:p w:rsidR="002D0F6C" w:rsidRPr="00DD08CA" w:rsidRDefault="00164D97" w:rsidP="00B75124">
      <w:pPr>
        <w:ind w:right="-174"/>
        <w:rPr>
          <w:rFonts w:ascii="Times New Roman" w:hAnsi="Times New Roman" w:cs="Times New Roman"/>
          <w:bCs/>
          <w:sz w:val="20"/>
          <w:lang w:val="en-GB"/>
        </w:rPr>
      </w:pPr>
      <w:r>
        <w:rPr>
          <w:rFonts w:ascii="Times New Roman" w:hAnsi="Times New Roman" w:cs="Times New Roman"/>
          <w:bCs/>
          <w:i/>
          <w:sz w:val="20"/>
          <w:lang w:val="en-GB"/>
        </w:rPr>
        <w:t>Dmitry</w:t>
      </w:r>
      <w:r w:rsidR="002D0F6C" w:rsidRPr="00DD08CA">
        <w:rPr>
          <w:rFonts w:ascii="Times New Roman" w:hAnsi="Times New Roman" w:cs="Times New Roman"/>
          <w:bCs/>
          <w:sz w:val="20"/>
          <w:lang w:val="en-GB"/>
        </w:rPr>
        <w:t xml:space="preserve"> </w:t>
      </w:r>
      <w:r>
        <w:rPr>
          <w:rFonts w:ascii="Times New Roman" w:hAnsi="Times New Roman" w:cs="Times New Roman"/>
          <w:bCs/>
          <w:sz w:val="20"/>
          <w:lang w:val="en-GB"/>
        </w:rPr>
        <w:t>Krupenev</w:t>
      </w:r>
      <w:r w:rsidR="002D0F6C" w:rsidRPr="00DD08CA">
        <w:rPr>
          <w:rFonts w:ascii="Times New Roman" w:hAnsi="Times New Roman" w:cs="Times New Roman"/>
          <w:bCs/>
          <w:sz w:val="20"/>
          <w:vertAlign w:val="superscript"/>
          <w:lang w:val="en-GB"/>
        </w:rPr>
        <w:t>1</w:t>
      </w:r>
      <w:r w:rsidR="00FB04B9">
        <w:rPr>
          <w:rFonts w:ascii="Times New Roman" w:hAnsi="Times New Roman" w:cs="Times New Roman"/>
          <w:bCs/>
          <w:sz w:val="20"/>
          <w:vertAlign w:val="superscript"/>
          <w:lang w:val="en-GB"/>
        </w:rPr>
        <w:t>*</w:t>
      </w:r>
      <w:r w:rsidR="002D0F6C" w:rsidRPr="00DD08CA">
        <w:rPr>
          <w:rFonts w:ascii="Times New Roman" w:hAnsi="Times New Roman" w:cs="Times New Roman"/>
          <w:bCs/>
          <w:sz w:val="20"/>
          <w:lang w:val="en-GB"/>
        </w:rPr>
        <w:t xml:space="preserve">, </w:t>
      </w:r>
      <w:r w:rsidR="0044244A">
        <w:rPr>
          <w:rFonts w:ascii="Times New Roman" w:hAnsi="Times New Roman" w:cs="Times New Roman"/>
          <w:bCs/>
          <w:i/>
          <w:sz w:val="20"/>
          <w:lang w:val="en-US"/>
        </w:rPr>
        <w:t>Denis</w:t>
      </w:r>
      <w:r w:rsidR="002D0F6C" w:rsidRPr="00DD08CA">
        <w:rPr>
          <w:rFonts w:ascii="Times New Roman" w:hAnsi="Times New Roman" w:cs="Times New Roman"/>
          <w:bCs/>
          <w:sz w:val="20"/>
          <w:lang w:val="en-GB"/>
        </w:rPr>
        <w:t xml:space="preserve"> </w:t>
      </w:r>
      <w:proofErr w:type="spellStart"/>
      <w:r w:rsidR="0044244A" w:rsidRPr="0044244A">
        <w:rPr>
          <w:rFonts w:ascii="Times New Roman" w:hAnsi="Times New Roman" w:cs="Times New Roman"/>
          <w:bCs/>
          <w:sz w:val="20"/>
          <w:lang w:val="en-GB"/>
        </w:rPr>
        <w:t>Boyarkin</w:t>
      </w:r>
      <w:proofErr w:type="spellEnd"/>
      <w:r w:rsidR="0044244A" w:rsidRPr="0044244A">
        <w:rPr>
          <w:rFonts w:ascii="Times New Roman" w:hAnsi="Times New Roman" w:cs="Times New Roman"/>
          <w:bCs/>
          <w:sz w:val="20"/>
          <w:lang w:val="en-GB"/>
        </w:rPr>
        <w:t xml:space="preserve"> </w:t>
      </w:r>
      <w:r w:rsidR="0044244A">
        <w:rPr>
          <w:rFonts w:ascii="Times New Roman" w:hAnsi="Times New Roman" w:cs="Times New Roman"/>
          <w:bCs/>
          <w:sz w:val="20"/>
          <w:vertAlign w:val="superscript"/>
          <w:lang w:val="en-GB"/>
        </w:rPr>
        <w:t>1</w:t>
      </w:r>
      <w:r w:rsidR="00DD08CA">
        <w:rPr>
          <w:rFonts w:ascii="Times New Roman" w:hAnsi="Times New Roman" w:cs="Times New Roman"/>
          <w:bCs/>
          <w:sz w:val="20"/>
          <w:lang w:val="en-GB"/>
        </w:rPr>
        <w:t>,</w:t>
      </w:r>
      <w:r w:rsidR="004510DF" w:rsidRPr="00DD08CA">
        <w:rPr>
          <w:rFonts w:ascii="Times New Roman" w:hAnsi="Times New Roman" w:cs="Times New Roman"/>
          <w:bCs/>
          <w:sz w:val="20"/>
          <w:lang w:val="en-GB"/>
        </w:rPr>
        <w:t xml:space="preserve"> </w:t>
      </w:r>
      <w:proofErr w:type="spellStart"/>
      <w:r w:rsidR="00FE662C">
        <w:rPr>
          <w:rFonts w:ascii="Times New Roman" w:hAnsi="Times New Roman" w:cs="Times New Roman"/>
          <w:bCs/>
          <w:i/>
          <w:sz w:val="20"/>
          <w:lang w:val="en-GB"/>
        </w:rPr>
        <w:t>Dmitrii</w:t>
      </w:r>
      <w:proofErr w:type="spellEnd"/>
      <w:r w:rsidR="002D0F6C" w:rsidRPr="00DD08CA">
        <w:rPr>
          <w:rFonts w:ascii="Times New Roman" w:hAnsi="Times New Roman" w:cs="Times New Roman"/>
          <w:bCs/>
          <w:sz w:val="20"/>
          <w:lang w:val="en-GB"/>
        </w:rPr>
        <w:t xml:space="preserve"> </w:t>
      </w:r>
      <w:proofErr w:type="spellStart"/>
      <w:r w:rsidR="00FE662C" w:rsidRPr="00FE662C">
        <w:rPr>
          <w:rFonts w:ascii="Times New Roman" w:hAnsi="Times New Roman" w:cs="Times New Roman"/>
          <w:bCs/>
          <w:sz w:val="20"/>
          <w:lang w:val="en-GB"/>
        </w:rPr>
        <w:t>Iakubovskii</w:t>
      </w:r>
      <w:proofErr w:type="spellEnd"/>
      <w:r w:rsidR="00FE662C" w:rsidRPr="00FE662C">
        <w:rPr>
          <w:rFonts w:ascii="Times New Roman" w:hAnsi="Times New Roman" w:cs="Times New Roman"/>
          <w:bCs/>
          <w:sz w:val="20"/>
          <w:lang w:val="en-GB"/>
        </w:rPr>
        <w:t xml:space="preserve"> </w:t>
      </w:r>
      <w:r w:rsidR="004510DF" w:rsidRPr="00DD08CA">
        <w:rPr>
          <w:rFonts w:ascii="Times New Roman" w:hAnsi="Times New Roman" w:cs="Times New Roman"/>
          <w:bCs/>
          <w:sz w:val="20"/>
          <w:vertAlign w:val="superscript"/>
          <w:lang w:val="en-GB"/>
        </w:rPr>
        <w:t>1</w:t>
      </w:r>
      <w:r w:rsidR="00FE662C">
        <w:rPr>
          <w:rFonts w:ascii="Times New Roman" w:hAnsi="Times New Roman" w:cs="Times New Roman"/>
          <w:bCs/>
          <w:sz w:val="20"/>
          <w:lang w:val="en-GB"/>
        </w:rPr>
        <w:t>,</w:t>
      </w:r>
      <w:r w:rsidR="00FE662C" w:rsidRPr="00DD08CA">
        <w:rPr>
          <w:rFonts w:ascii="Times New Roman" w:hAnsi="Times New Roman" w:cs="Times New Roman"/>
          <w:bCs/>
          <w:sz w:val="20"/>
          <w:lang w:val="en-GB"/>
        </w:rPr>
        <w:t xml:space="preserve"> </w:t>
      </w:r>
      <w:r w:rsidR="00FE662C">
        <w:rPr>
          <w:rFonts w:ascii="Times New Roman" w:hAnsi="Times New Roman" w:cs="Times New Roman"/>
          <w:bCs/>
          <w:i/>
          <w:sz w:val="20"/>
          <w:lang w:val="en-GB"/>
        </w:rPr>
        <w:t>Gennady</w:t>
      </w:r>
      <w:r w:rsidR="00FE662C" w:rsidRPr="00DD08CA">
        <w:rPr>
          <w:rFonts w:ascii="Times New Roman" w:hAnsi="Times New Roman" w:cs="Times New Roman"/>
          <w:bCs/>
          <w:sz w:val="20"/>
          <w:lang w:val="en-GB"/>
        </w:rPr>
        <w:t xml:space="preserve"> </w:t>
      </w:r>
      <w:proofErr w:type="spellStart"/>
      <w:r w:rsidR="00FE662C">
        <w:rPr>
          <w:rFonts w:ascii="Times New Roman" w:hAnsi="Times New Roman" w:cs="Times New Roman"/>
          <w:bCs/>
          <w:sz w:val="20"/>
          <w:lang w:val="en-GB"/>
        </w:rPr>
        <w:t>Kovalev</w:t>
      </w:r>
      <w:proofErr w:type="spellEnd"/>
      <w:r w:rsidR="00FE662C" w:rsidRPr="00FE662C">
        <w:rPr>
          <w:rFonts w:ascii="Times New Roman" w:hAnsi="Times New Roman" w:cs="Times New Roman"/>
          <w:bCs/>
          <w:sz w:val="20"/>
          <w:lang w:val="en-GB"/>
        </w:rPr>
        <w:t xml:space="preserve"> </w:t>
      </w:r>
      <w:r w:rsidR="00FE662C" w:rsidRPr="00DD08CA">
        <w:rPr>
          <w:rFonts w:ascii="Times New Roman" w:hAnsi="Times New Roman" w:cs="Times New Roman"/>
          <w:bCs/>
          <w:sz w:val="20"/>
          <w:vertAlign w:val="superscript"/>
          <w:lang w:val="en-GB"/>
        </w:rPr>
        <w:t>1</w:t>
      </w:r>
      <w:r w:rsidR="00FE662C">
        <w:rPr>
          <w:rFonts w:ascii="Times New Roman" w:hAnsi="Times New Roman" w:cs="Times New Roman"/>
          <w:bCs/>
          <w:sz w:val="20"/>
          <w:lang w:val="en-GB"/>
        </w:rPr>
        <w:t>,</w:t>
      </w:r>
      <w:r w:rsidR="00FE662C" w:rsidRPr="00DD08CA">
        <w:rPr>
          <w:rFonts w:ascii="Times New Roman" w:hAnsi="Times New Roman" w:cs="Times New Roman"/>
          <w:bCs/>
          <w:sz w:val="20"/>
          <w:lang w:val="en-GB"/>
        </w:rPr>
        <w:t xml:space="preserve"> and </w:t>
      </w:r>
      <w:proofErr w:type="spellStart"/>
      <w:r w:rsidR="00FE662C">
        <w:rPr>
          <w:rFonts w:ascii="Times New Roman" w:hAnsi="Times New Roman" w:cs="Times New Roman"/>
          <w:bCs/>
          <w:i/>
          <w:sz w:val="20"/>
          <w:lang w:val="en-GB"/>
        </w:rPr>
        <w:t>Ludmila</w:t>
      </w:r>
      <w:proofErr w:type="spellEnd"/>
      <w:r w:rsidR="00FE662C" w:rsidRPr="00DD08CA">
        <w:rPr>
          <w:rFonts w:ascii="Times New Roman" w:hAnsi="Times New Roman" w:cs="Times New Roman"/>
          <w:bCs/>
          <w:sz w:val="20"/>
          <w:lang w:val="en-GB"/>
        </w:rPr>
        <w:t xml:space="preserve"> </w:t>
      </w:r>
      <w:proofErr w:type="spellStart"/>
      <w:r w:rsidR="00FE662C">
        <w:rPr>
          <w:rFonts w:ascii="Times New Roman" w:hAnsi="Times New Roman" w:cs="Times New Roman"/>
          <w:bCs/>
          <w:sz w:val="20"/>
          <w:lang w:val="en-GB"/>
        </w:rPr>
        <w:t>Lebedeva</w:t>
      </w:r>
      <w:proofErr w:type="spellEnd"/>
      <w:r w:rsidR="00FE662C" w:rsidRPr="00FE662C">
        <w:rPr>
          <w:rFonts w:ascii="Times New Roman" w:hAnsi="Times New Roman" w:cs="Times New Roman"/>
          <w:bCs/>
          <w:sz w:val="20"/>
          <w:lang w:val="en-GB"/>
        </w:rPr>
        <w:t xml:space="preserve"> </w:t>
      </w:r>
      <w:r w:rsidR="00FE662C" w:rsidRPr="00DD08CA">
        <w:rPr>
          <w:rFonts w:ascii="Times New Roman" w:hAnsi="Times New Roman" w:cs="Times New Roman"/>
          <w:bCs/>
          <w:sz w:val="20"/>
          <w:vertAlign w:val="superscript"/>
          <w:lang w:val="en-GB"/>
        </w:rPr>
        <w:t>1</w:t>
      </w:r>
    </w:p>
    <w:p w:rsidR="002D0F6C" w:rsidRPr="00DD08CA" w:rsidRDefault="002D0F6C" w:rsidP="00B75124">
      <w:pPr>
        <w:spacing w:before="170"/>
        <w:ind w:right="-174"/>
        <w:rPr>
          <w:rFonts w:ascii="Times New Roman" w:hAnsi="Times New Roman" w:cs="Times New Roman"/>
          <w:bCs/>
          <w:iCs/>
          <w:sz w:val="18"/>
          <w:szCs w:val="18"/>
          <w:lang w:val="en-GB"/>
        </w:rPr>
      </w:pPr>
      <w:r w:rsidRPr="00DD08CA">
        <w:rPr>
          <w:rFonts w:ascii="Times New Roman" w:hAnsi="Times New Roman" w:cs="Times New Roman"/>
          <w:bCs/>
          <w:sz w:val="18"/>
          <w:szCs w:val="18"/>
          <w:vertAlign w:val="superscript"/>
          <w:lang w:val="en-GB"/>
        </w:rPr>
        <w:t>1</w:t>
      </w:r>
      <w:r w:rsidR="00FE662C" w:rsidRPr="00FE662C">
        <w:rPr>
          <w:rFonts w:ascii="Times New Roman" w:hAnsi="Times New Roman" w:cs="Times New Roman"/>
          <w:bCs/>
          <w:iCs/>
          <w:sz w:val="18"/>
          <w:szCs w:val="18"/>
          <w:lang w:val="en-GB"/>
        </w:rPr>
        <w:t>Melentiev Energy Systems Institute of</w:t>
      </w:r>
      <w:r w:rsidR="00FE662C">
        <w:rPr>
          <w:rFonts w:ascii="Times New Roman" w:hAnsi="Times New Roman" w:cs="Times New Roman"/>
          <w:bCs/>
          <w:iCs/>
          <w:sz w:val="18"/>
          <w:szCs w:val="18"/>
          <w:lang w:val="en-GB"/>
        </w:rPr>
        <w:t xml:space="preserve"> SB RAS</w:t>
      </w:r>
      <w:r w:rsidRPr="00DD08CA">
        <w:rPr>
          <w:rFonts w:ascii="Times New Roman" w:hAnsi="Times New Roman" w:cs="Times New Roman"/>
          <w:bCs/>
          <w:iCs/>
          <w:sz w:val="18"/>
          <w:szCs w:val="18"/>
          <w:lang w:val="en-GB"/>
        </w:rPr>
        <w:t xml:space="preserve">, </w:t>
      </w:r>
      <w:r w:rsidR="00FE662C">
        <w:rPr>
          <w:rFonts w:ascii="Times New Roman" w:hAnsi="Times New Roman" w:cs="Times New Roman"/>
          <w:bCs/>
          <w:iCs/>
          <w:sz w:val="18"/>
          <w:szCs w:val="18"/>
          <w:lang w:val="en-GB"/>
        </w:rPr>
        <w:t xml:space="preserve">Energy Security </w:t>
      </w:r>
      <w:r w:rsidRPr="00DD08CA">
        <w:rPr>
          <w:rFonts w:ascii="Times New Roman" w:hAnsi="Times New Roman" w:cs="Times New Roman"/>
          <w:bCs/>
          <w:iCs/>
          <w:sz w:val="18"/>
          <w:szCs w:val="18"/>
          <w:lang w:val="en-GB"/>
        </w:rPr>
        <w:t xml:space="preserve">Department, </w:t>
      </w:r>
      <w:r w:rsidR="00FE662C">
        <w:rPr>
          <w:rFonts w:ascii="Times New Roman" w:hAnsi="Times New Roman" w:cs="Times New Roman"/>
          <w:bCs/>
          <w:iCs/>
          <w:sz w:val="18"/>
          <w:szCs w:val="18"/>
          <w:lang w:val="en-GB"/>
        </w:rPr>
        <w:t>664033</w:t>
      </w:r>
      <w:r w:rsidRPr="00DD08CA">
        <w:rPr>
          <w:rFonts w:ascii="Times New Roman" w:hAnsi="Times New Roman" w:cs="Times New Roman"/>
          <w:bCs/>
          <w:iCs/>
          <w:sz w:val="18"/>
          <w:szCs w:val="18"/>
          <w:lang w:val="en-GB"/>
        </w:rPr>
        <w:t xml:space="preserve"> </w:t>
      </w:r>
      <w:r w:rsidR="00FE662C">
        <w:rPr>
          <w:rFonts w:ascii="Times New Roman" w:hAnsi="Times New Roman" w:cs="Times New Roman"/>
          <w:bCs/>
          <w:iCs/>
          <w:sz w:val="18"/>
          <w:szCs w:val="18"/>
          <w:lang w:val="en-GB"/>
        </w:rPr>
        <w:t>Lermontov str. 130</w:t>
      </w:r>
      <w:r w:rsidRPr="00DD08CA">
        <w:rPr>
          <w:rFonts w:ascii="Times New Roman" w:hAnsi="Times New Roman" w:cs="Times New Roman"/>
          <w:bCs/>
          <w:iCs/>
          <w:sz w:val="18"/>
          <w:szCs w:val="18"/>
          <w:lang w:val="en-GB"/>
        </w:rPr>
        <w:t xml:space="preserve">, </w:t>
      </w:r>
      <w:r w:rsidR="00FE662C">
        <w:rPr>
          <w:rFonts w:ascii="Times New Roman" w:hAnsi="Times New Roman" w:cs="Times New Roman"/>
          <w:bCs/>
          <w:iCs/>
          <w:sz w:val="18"/>
          <w:szCs w:val="18"/>
          <w:lang w:val="en-GB"/>
        </w:rPr>
        <w:t>Russia</w:t>
      </w:r>
    </w:p>
    <w:p w:rsidR="002D0F6C" w:rsidRPr="00DD08CA" w:rsidRDefault="002D0F6C" w:rsidP="00B75124">
      <w:pPr>
        <w:ind w:right="-174"/>
        <w:rPr>
          <w:rFonts w:ascii="Times New Roman" w:hAnsi="Times New Roman" w:cs="Times New Roman"/>
          <w:bCs/>
          <w:iCs/>
          <w:sz w:val="18"/>
          <w:szCs w:val="18"/>
          <w:lang w:val="en-GB"/>
        </w:rPr>
      </w:pPr>
    </w:p>
    <w:p w:rsidR="002D0F6C" w:rsidRPr="00CA6DFB" w:rsidRDefault="002D0F6C" w:rsidP="00DD08CA">
      <w:pPr>
        <w:spacing w:before="454" w:after="567" w:line="276" w:lineRule="auto"/>
        <w:ind w:left="964" w:right="964"/>
        <w:jc w:val="both"/>
        <w:rPr>
          <w:rFonts w:ascii="Times New Roman" w:hAnsi="Times New Roman" w:cs="Times New Roman"/>
          <w:sz w:val="17"/>
          <w:szCs w:val="17"/>
          <w:lang w:val="en-GB"/>
        </w:rPr>
      </w:pPr>
      <w:r w:rsidRPr="00DD08CA">
        <w:rPr>
          <w:rFonts w:ascii="Arial" w:hAnsi="Arial" w:cs="Arial"/>
          <w:b/>
          <w:sz w:val="18"/>
          <w:szCs w:val="18"/>
          <w:lang w:val="en-GB"/>
        </w:rPr>
        <w:t>Abstract.</w:t>
      </w:r>
      <w:r w:rsidRPr="00DD08CA">
        <w:rPr>
          <w:rFonts w:ascii="Times New Roman" w:hAnsi="Times New Roman" w:cs="Times New Roman"/>
          <w:sz w:val="18"/>
          <w:szCs w:val="18"/>
          <w:lang w:val="en-GB"/>
        </w:rPr>
        <w:t xml:space="preserve"> </w:t>
      </w:r>
      <w:r w:rsidR="00E87FF2" w:rsidRPr="00E87FF2">
        <w:rPr>
          <w:rFonts w:ascii="Times New Roman" w:hAnsi="Times New Roman" w:cs="Times New Roman"/>
          <w:sz w:val="18"/>
          <w:szCs w:val="18"/>
          <w:lang w:val="en-GB"/>
        </w:rPr>
        <w:t xml:space="preserve">Determination of reserves of generating capacity is one of the main tasks in planning the future development of electric power systems. </w:t>
      </w:r>
      <w:r w:rsidR="00813DEB">
        <w:rPr>
          <w:rFonts w:ascii="Times New Roman" w:hAnsi="Times New Roman" w:cs="Times New Roman"/>
          <w:sz w:val="18"/>
          <w:szCs w:val="18"/>
          <w:lang w:val="en-US"/>
        </w:rPr>
        <w:t>T</w:t>
      </w:r>
      <w:r w:rsidR="00813DEB" w:rsidRPr="00813DEB">
        <w:rPr>
          <w:rFonts w:ascii="Times New Roman" w:hAnsi="Times New Roman" w:cs="Times New Roman"/>
          <w:sz w:val="18"/>
          <w:szCs w:val="18"/>
          <w:lang w:val="en-GB"/>
        </w:rPr>
        <w:t>here are many problems that affect the rational level of redundancy of generating capacities</w:t>
      </w:r>
      <w:r w:rsidR="00813DEB">
        <w:rPr>
          <w:rFonts w:ascii="Times New Roman" w:hAnsi="Times New Roman" w:cs="Times New Roman"/>
          <w:sz w:val="18"/>
          <w:szCs w:val="18"/>
          <w:lang w:val="en-GB"/>
        </w:rPr>
        <w:t xml:space="preserve"> in </w:t>
      </w:r>
      <w:r w:rsidR="00813DEB" w:rsidRPr="00813DEB">
        <w:rPr>
          <w:rFonts w:ascii="Times New Roman" w:hAnsi="Times New Roman" w:cs="Times New Roman"/>
          <w:sz w:val="18"/>
          <w:szCs w:val="18"/>
          <w:lang w:val="en-GB"/>
        </w:rPr>
        <w:t>Russian power industry</w:t>
      </w:r>
      <w:r w:rsidR="00813DEB">
        <w:rPr>
          <w:rFonts w:ascii="Times New Roman" w:hAnsi="Times New Roman" w:cs="Times New Roman"/>
          <w:sz w:val="18"/>
          <w:szCs w:val="18"/>
          <w:lang w:val="en-GB"/>
        </w:rPr>
        <w:t>.</w:t>
      </w:r>
      <w:r w:rsidR="002F5827">
        <w:rPr>
          <w:rFonts w:ascii="Times New Roman" w:hAnsi="Times New Roman" w:cs="Times New Roman"/>
          <w:sz w:val="18"/>
          <w:szCs w:val="18"/>
          <w:lang w:val="en-GB"/>
        </w:rPr>
        <w:t xml:space="preserve"> M</w:t>
      </w:r>
      <w:r w:rsidR="002F5827" w:rsidRPr="002F5827">
        <w:rPr>
          <w:rFonts w:ascii="Times New Roman" w:hAnsi="Times New Roman" w:cs="Times New Roman"/>
          <w:sz w:val="18"/>
          <w:szCs w:val="18"/>
          <w:lang w:val="en-GB"/>
        </w:rPr>
        <w:t xml:space="preserve">odern changes in the Russian electric power industry concerning the level of redundancy of generating capacity in the long-term planning of the development of the Unified </w:t>
      </w:r>
      <w:r w:rsidR="000E17D0">
        <w:rPr>
          <w:rFonts w:ascii="Times New Roman" w:hAnsi="Times New Roman" w:cs="Times New Roman"/>
          <w:sz w:val="18"/>
          <w:szCs w:val="18"/>
          <w:lang w:val="en-GB"/>
        </w:rPr>
        <w:t>Power</w:t>
      </w:r>
      <w:r w:rsidR="002F5827" w:rsidRPr="002F5827">
        <w:rPr>
          <w:rFonts w:ascii="Times New Roman" w:hAnsi="Times New Roman" w:cs="Times New Roman"/>
          <w:sz w:val="18"/>
          <w:szCs w:val="18"/>
          <w:lang w:val="en-GB"/>
        </w:rPr>
        <w:t xml:space="preserve"> System (U</w:t>
      </w:r>
      <w:r w:rsidR="000E17D0">
        <w:rPr>
          <w:rFonts w:ascii="Times New Roman" w:hAnsi="Times New Roman" w:cs="Times New Roman"/>
          <w:sz w:val="18"/>
          <w:szCs w:val="18"/>
          <w:lang w:val="en-GB"/>
        </w:rPr>
        <w:t>P</w:t>
      </w:r>
      <w:r w:rsidR="002F5827" w:rsidRPr="002F5827">
        <w:rPr>
          <w:rFonts w:ascii="Times New Roman" w:hAnsi="Times New Roman" w:cs="Times New Roman"/>
          <w:sz w:val="18"/>
          <w:szCs w:val="18"/>
          <w:lang w:val="en-GB"/>
        </w:rPr>
        <w:t>S) of Russia</w:t>
      </w:r>
      <w:r w:rsidR="002F5827" w:rsidRPr="002F5827">
        <w:rPr>
          <w:rFonts w:ascii="Times New Roman" w:hAnsi="Times New Roman" w:cs="Times New Roman"/>
          <w:sz w:val="18"/>
          <w:szCs w:val="18"/>
          <w:lang w:val="en-US"/>
        </w:rPr>
        <w:t xml:space="preserve"> </w:t>
      </w:r>
      <w:r w:rsidR="002F5827">
        <w:rPr>
          <w:rFonts w:ascii="Times New Roman" w:hAnsi="Times New Roman" w:cs="Times New Roman"/>
          <w:sz w:val="18"/>
          <w:szCs w:val="18"/>
          <w:lang w:val="en-US"/>
        </w:rPr>
        <w:t>are analyzed in the article</w:t>
      </w:r>
      <w:r w:rsidR="002F5827" w:rsidRPr="002F5827">
        <w:rPr>
          <w:rFonts w:ascii="Times New Roman" w:hAnsi="Times New Roman" w:cs="Times New Roman"/>
          <w:sz w:val="18"/>
          <w:szCs w:val="18"/>
          <w:lang w:val="en-GB"/>
        </w:rPr>
        <w:t>.</w:t>
      </w:r>
      <w:r w:rsidR="00E87FF2" w:rsidRPr="00E87FF2">
        <w:rPr>
          <w:rFonts w:ascii="Times New Roman" w:hAnsi="Times New Roman" w:cs="Times New Roman"/>
          <w:sz w:val="18"/>
          <w:szCs w:val="18"/>
          <w:lang w:val="en-GB"/>
        </w:rPr>
        <w:t xml:space="preserve"> </w:t>
      </w:r>
      <w:r w:rsidR="00180048">
        <w:rPr>
          <w:rFonts w:ascii="Times New Roman" w:hAnsi="Times New Roman" w:cs="Times New Roman"/>
          <w:sz w:val="18"/>
          <w:szCs w:val="18"/>
          <w:lang w:val="en-GB"/>
        </w:rPr>
        <w:t>T</w:t>
      </w:r>
      <w:r w:rsidR="00E87FF2" w:rsidRPr="00E87FF2">
        <w:rPr>
          <w:rFonts w:ascii="Times New Roman" w:hAnsi="Times New Roman" w:cs="Times New Roman"/>
          <w:sz w:val="18"/>
          <w:szCs w:val="18"/>
          <w:lang w:val="en-GB"/>
        </w:rPr>
        <w:t xml:space="preserve">he optimization problem of determining the necessary reserves of generating capacity in the power system, based on the assessment of </w:t>
      </w:r>
      <w:r w:rsidR="00180048">
        <w:rPr>
          <w:rFonts w:ascii="Times New Roman" w:hAnsi="Times New Roman" w:cs="Times New Roman"/>
          <w:sz w:val="18"/>
          <w:szCs w:val="18"/>
          <w:lang w:val="en-GB"/>
        </w:rPr>
        <w:t>adequacy</w:t>
      </w:r>
      <w:r w:rsidR="00E87FF2" w:rsidRPr="00E87FF2">
        <w:rPr>
          <w:rFonts w:ascii="Times New Roman" w:hAnsi="Times New Roman" w:cs="Times New Roman"/>
          <w:sz w:val="18"/>
          <w:szCs w:val="18"/>
          <w:lang w:val="en-GB"/>
        </w:rPr>
        <w:t>, taking into account the modern features of the development of the U</w:t>
      </w:r>
      <w:r w:rsidR="000E17D0">
        <w:rPr>
          <w:rFonts w:ascii="Times New Roman" w:hAnsi="Times New Roman" w:cs="Times New Roman"/>
          <w:sz w:val="18"/>
          <w:szCs w:val="18"/>
          <w:lang w:val="en-GB"/>
        </w:rPr>
        <w:t>P</w:t>
      </w:r>
      <w:r w:rsidR="00E87FF2" w:rsidRPr="00E87FF2">
        <w:rPr>
          <w:rFonts w:ascii="Times New Roman" w:hAnsi="Times New Roman" w:cs="Times New Roman"/>
          <w:sz w:val="18"/>
          <w:szCs w:val="18"/>
          <w:lang w:val="en-GB"/>
        </w:rPr>
        <w:t>S of Russia</w:t>
      </w:r>
      <w:r w:rsidR="00180048">
        <w:rPr>
          <w:rFonts w:ascii="Times New Roman" w:hAnsi="Times New Roman" w:cs="Times New Roman"/>
          <w:sz w:val="18"/>
          <w:szCs w:val="18"/>
          <w:lang w:val="en-GB"/>
        </w:rPr>
        <w:t xml:space="preserve"> </w:t>
      </w:r>
      <w:r w:rsidR="00180048" w:rsidRPr="00180048">
        <w:rPr>
          <w:rFonts w:ascii="Times New Roman" w:hAnsi="Times New Roman" w:cs="Times New Roman"/>
          <w:sz w:val="18"/>
          <w:szCs w:val="18"/>
          <w:lang w:val="en-GB"/>
        </w:rPr>
        <w:t>is presented</w:t>
      </w:r>
      <w:r w:rsidR="00E87FF2" w:rsidRPr="00E87FF2">
        <w:rPr>
          <w:rFonts w:ascii="Times New Roman" w:hAnsi="Times New Roman" w:cs="Times New Roman"/>
          <w:sz w:val="18"/>
          <w:szCs w:val="18"/>
          <w:lang w:val="en-GB"/>
        </w:rPr>
        <w:t xml:space="preserve">. </w:t>
      </w:r>
      <w:r w:rsidR="00180048">
        <w:rPr>
          <w:rFonts w:ascii="Times New Roman" w:hAnsi="Times New Roman" w:cs="Times New Roman"/>
          <w:sz w:val="18"/>
          <w:szCs w:val="18"/>
          <w:lang w:val="en-GB"/>
        </w:rPr>
        <w:t>T</w:t>
      </w:r>
      <w:r w:rsidR="00E87FF2" w:rsidRPr="00E87FF2">
        <w:rPr>
          <w:rFonts w:ascii="Times New Roman" w:hAnsi="Times New Roman" w:cs="Times New Roman"/>
          <w:sz w:val="18"/>
          <w:szCs w:val="18"/>
          <w:lang w:val="en-GB"/>
        </w:rPr>
        <w:t xml:space="preserve">he results of assessing the </w:t>
      </w:r>
      <w:r w:rsidR="00180048">
        <w:rPr>
          <w:rFonts w:ascii="Times New Roman" w:hAnsi="Times New Roman" w:cs="Times New Roman"/>
          <w:sz w:val="18"/>
          <w:szCs w:val="18"/>
          <w:lang w:val="en-GB"/>
        </w:rPr>
        <w:t>adequacy</w:t>
      </w:r>
      <w:r w:rsidR="00E87FF2" w:rsidRPr="00E87FF2">
        <w:rPr>
          <w:rFonts w:ascii="Times New Roman" w:hAnsi="Times New Roman" w:cs="Times New Roman"/>
          <w:sz w:val="18"/>
          <w:szCs w:val="18"/>
          <w:lang w:val="en-GB"/>
        </w:rPr>
        <w:t xml:space="preserve"> of the U</w:t>
      </w:r>
      <w:r w:rsidR="000E17D0">
        <w:rPr>
          <w:rFonts w:ascii="Times New Roman" w:hAnsi="Times New Roman" w:cs="Times New Roman"/>
          <w:sz w:val="18"/>
          <w:szCs w:val="18"/>
          <w:lang w:val="en-GB"/>
        </w:rPr>
        <w:t>P</w:t>
      </w:r>
      <w:r w:rsidR="00E87FF2" w:rsidRPr="00E87FF2">
        <w:rPr>
          <w:rFonts w:ascii="Times New Roman" w:hAnsi="Times New Roman" w:cs="Times New Roman"/>
          <w:sz w:val="18"/>
          <w:szCs w:val="18"/>
          <w:lang w:val="en-GB"/>
        </w:rPr>
        <w:t>S of Russia at the level of 2022 and the value of the optimized reserves of generating capacity in the U</w:t>
      </w:r>
      <w:r w:rsidR="000E17D0">
        <w:rPr>
          <w:rFonts w:ascii="Times New Roman" w:hAnsi="Times New Roman" w:cs="Times New Roman"/>
          <w:sz w:val="18"/>
          <w:szCs w:val="18"/>
          <w:lang w:val="en-GB"/>
        </w:rPr>
        <w:t>P</w:t>
      </w:r>
      <w:r w:rsidR="00E87FF2" w:rsidRPr="00E87FF2">
        <w:rPr>
          <w:rFonts w:ascii="Times New Roman" w:hAnsi="Times New Roman" w:cs="Times New Roman"/>
          <w:sz w:val="18"/>
          <w:szCs w:val="18"/>
          <w:lang w:val="en-GB"/>
        </w:rPr>
        <w:t>S of Russia</w:t>
      </w:r>
      <w:r w:rsidR="00180048">
        <w:rPr>
          <w:rFonts w:ascii="Times New Roman" w:hAnsi="Times New Roman" w:cs="Times New Roman"/>
          <w:sz w:val="18"/>
          <w:szCs w:val="18"/>
          <w:lang w:val="en-GB"/>
        </w:rPr>
        <w:t xml:space="preserve"> are</w:t>
      </w:r>
      <w:r w:rsidR="004C3ADA">
        <w:rPr>
          <w:rFonts w:ascii="Times New Roman" w:hAnsi="Times New Roman" w:cs="Times New Roman"/>
          <w:sz w:val="18"/>
          <w:szCs w:val="18"/>
          <w:lang w:val="en-GB"/>
        </w:rPr>
        <w:t xml:space="preserve"> showed</w:t>
      </w:r>
      <w:r w:rsidR="00180048">
        <w:rPr>
          <w:rFonts w:ascii="Times New Roman" w:hAnsi="Times New Roman" w:cs="Times New Roman"/>
          <w:sz w:val="18"/>
          <w:szCs w:val="18"/>
          <w:lang w:val="en-GB"/>
        </w:rPr>
        <w:t xml:space="preserve"> in t</w:t>
      </w:r>
      <w:r w:rsidR="00180048" w:rsidRPr="00180048">
        <w:rPr>
          <w:rFonts w:ascii="Times New Roman" w:hAnsi="Times New Roman" w:cs="Times New Roman"/>
          <w:sz w:val="18"/>
          <w:szCs w:val="18"/>
          <w:lang w:val="en-GB"/>
        </w:rPr>
        <w:t>he final part</w:t>
      </w:r>
      <w:r w:rsidR="00E87FF2" w:rsidRPr="00E87FF2">
        <w:rPr>
          <w:rFonts w:ascii="Times New Roman" w:hAnsi="Times New Roman" w:cs="Times New Roman"/>
          <w:sz w:val="18"/>
          <w:szCs w:val="18"/>
          <w:lang w:val="en-GB"/>
        </w:rPr>
        <w:t>.</w:t>
      </w:r>
    </w:p>
    <w:p w:rsidR="00883007" w:rsidRPr="0028347E" w:rsidRDefault="00883007">
      <w:pPr>
        <w:spacing w:before="567" w:after="851" w:line="276" w:lineRule="auto"/>
        <w:ind w:left="851" w:right="851"/>
        <w:jc w:val="both"/>
        <w:rPr>
          <w:rFonts w:ascii="Arial" w:hAnsi="Arial" w:cs="Arial"/>
          <w:sz w:val="18"/>
          <w:lang w:val="en-US"/>
        </w:rPr>
        <w:sectPr w:rsidR="00883007" w:rsidRPr="0028347E" w:rsidSect="003965B9">
          <w:headerReference w:type="even" r:id="rId8"/>
          <w:headerReference w:type="default" r:id="rId9"/>
          <w:footerReference w:type="first" r:id="rId10"/>
          <w:footnotePr>
            <w:pos w:val="beneathText"/>
            <w:numFmt w:val="lowerLetter"/>
          </w:footnotePr>
          <w:pgSz w:w="11905" w:h="16837" w:code="9"/>
          <w:pgMar w:top="1418" w:right="851" w:bottom="1134" w:left="851" w:header="680" w:footer="680" w:gutter="454"/>
          <w:cols w:space="720"/>
          <w:titlePg/>
          <w:docGrid w:linePitch="360"/>
        </w:sectPr>
      </w:pPr>
    </w:p>
    <w:p w:rsidR="002D0F6C" w:rsidRPr="00CA1091" w:rsidRDefault="007C05CA">
      <w:pPr>
        <w:spacing w:before="340" w:after="170"/>
        <w:jc w:val="both"/>
        <w:rPr>
          <w:rFonts w:ascii="Arial" w:hAnsi="Arial" w:cs="Arial"/>
          <w:b/>
          <w:caps/>
          <w:szCs w:val="24"/>
          <w:lang w:val="en-GB"/>
        </w:rPr>
      </w:pPr>
      <w:r w:rsidRPr="007C05CA">
        <w:rPr>
          <w:rFonts w:ascii="Arial" w:hAnsi="Arial" w:cs="Arial"/>
          <w:b/>
          <w:szCs w:val="24"/>
          <w:lang w:val="en-GB"/>
        </w:rPr>
        <w:t>Introduction</w:t>
      </w:r>
      <w:r w:rsidR="002D0F6C" w:rsidRPr="00CA1091">
        <w:rPr>
          <w:rFonts w:ascii="Arial" w:hAnsi="Arial" w:cs="Arial"/>
          <w:b/>
          <w:caps/>
          <w:szCs w:val="24"/>
          <w:lang w:val="en-GB"/>
        </w:rPr>
        <w:t xml:space="preserve"> </w:t>
      </w:r>
    </w:p>
    <w:p w:rsidR="007C05CA" w:rsidRDefault="007C05CA" w:rsidP="00B75124">
      <w:pPr>
        <w:jc w:val="both"/>
        <w:rPr>
          <w:rFonts w:ascii="Times" w:hAnsi="Times"/>
          <w:sz w:val="20"/>
          <w:lang w:val="en-GB"/>
        </w:rPr>
      </w:pPr>
      <w:r w:rsidRPr="007C05CA">
        <w:rPr>
          <w:rFonts w:ascii="Times" w:hAnsi="Times"/>
          <w:sz w:val="20"/>
          <w:lang w:val="en-GB"/>
        </w:rPr>
        <w:t xml:space="preserve">The </w:t>
      </w:r>
      <w:r w:rsidR="00EC4CB6">
        <w:rPr>
          <w:rFonts w:ascii="Times" w:hAnsi="Times"/>
          <w:sz w:val="20"/>
          <w:lang w:val="en-US"/>
        </w:rPr>
        <w:t>problem</w:t>
      </w:r>
      <w:r w:rsidRPr="007C05CA">
        <w:rPr>
          <w:rFonts w:ascii="Times" w:hAnsi="Times"/>
          <w:sz w:val="20"/>
          <w:lang w:val="en-GB"/>
        </w:rPr>
        <w:t xml:space="preserve"> of dete</w:t>
      </w:r>
      <w:r>
        <w:rPr>
          <w:rFonts w:ascii="Times" w:hAnsi="Times"/>
          <w:sz w:val="20"/>
          <w:lang w:val="en-GB"/>
        </w:rPr>
        <w:t xml:space="preserve">rmining the rational level of </w:t>
      </w:r>
      <w:r w:rsidR="008F18C4" w:rsidRPr="008F18C4">
        <w:rPr>
          <w:rFonts w:ascii="Times" w:hAnsi="Times"/>
          <w:sz w:val="20"/>
          <w:lang w:val="en-US"/>
        </w:rPr>
        <w:t>redundancy</w:t>
      </w:r>
      <w:r w:rsidRPr="007C05CA">
        <w:rPr>
          <w:rFonts w:ascii="Times" w:hAnsi="Times"/>
          <w:sz w:val="20"/>
          <w:lang w:val="en-GB"/>
        </w:rPr>
        <w:t xml:space="preserve"> of generating capacities is one of the main ones in the long-term planning of </w:t>
      </w:r>
      <w:r w:rsidR="00E50175" w:rsidRPr="007C05CA">
        <w:rPr>
          <w:rFonts w:ascii="Times" w:hAnsi="Times"/>
          <w:sz w:val="20"/>
          <w:lang w:val="en-GB"/>
        </w:rPr>
        <w:t>power systems</w:t>
      </w:r>
      <w:r w:rsidRPr="007C05CA">
        <w:rPr>
          <w:rFonts w:ascii="Times" w:hAnsi="Times"/>
          <w:sz w:val="20"/>
          <w:lang w:val="en-GB"/>
        </w:rPr>
        <w:t xml:space="preserve"> development [1]. The reserve of generating capacities in the power system should have an optimal value corresponding to the technical and economic criterion. </w:t>
      </w:r>
      <w:r w:rsidR="00EC4CB6">
        <w:rPr>
          <w:rFonts w:ascii="Times" w:hAnsi="Times"/>
          <w:sz w:val="20"/>
          <w:lang w:val="en-GB"/>
        </w:rPr>
        <w:t>M</w:t>
      </w:r>
      <w:r w:rsidRPr="007C05CA">
        <w:rPr>
          <w:rFonts w:ascii="Times" w:hAnsi="Times"/>
          <w:sz w:val="20"/>
          <w:lang w:val="en-GB"/>
        </w:rPr>
        <w:t>any factors</w:t>
      </w:r>
      <w:r w:rsidR="00EC4CB6">
        <w:rPr>
          <w:rFonts w:ascii="Times" w:hAnsi="Times"/>
          <w:sz w:val="20"/>
          <w:lang w:val="en-GB"/>
        </w:rPr>
        <w:t xml:space="preserve"> influence on d</w:t>
      </w:r>
      <w:r w:rsidR="00EC4CB6" w:rsidRPr="00EC4CB6">
        <w:rPr>
          <w:rFonts w:ascii="Times" w:hAnsi="Times"/>
          <w:sz w:val="20"/>
          <w:lang w:val="en-GB"/>
        </w:rPr>
        <w:t>etermination of the level of optimal</w:t>
      </w:r>
      <w:r w:rsidR="00DC52CB">
        <w:rPr>
          <w:rFonts w:ascii="Times" w:hAnsi="Times"/>
          <w:sz w:val="20"/>
          <w:lang w:val="en-GB"/>
        </w:rPr>
        <w:t xml:space="preserve"> </w:t>
      </w:r>
      <w:r w:rsidR="00DC52CB" w:rsidRPr="008F18C4">
        <w:rPr>
          <w:rFonts w:ascii="Times" w:hAnsi="Times"/>
          <w:sz w:val="20"/>
          <w:lang w:val="en-US"/>
        </w:rPr>
        <w:t>redundancy</w:t>
      </w:r>
      <w:r w:rsidR="00EC4CB6" w:rsidRPr="00EC4CB6">
        <w:rPr>
          <w:rFonts w:ascii="Times" w:hAnsi="Times"/>
          <w:sz w:val="20"/>
          <w:lang w:val="en-GB"/>
        </w:rPr>
        <w:t xml:space="preserve"> of generating capacity</w:t>
      </w:r>
      <w:r w:rsidR="00B117EF" w:rsidRPr="00B117EF">
        <w:rPr>
          <w:rFonts w:ascii="Times" w:hAnsi="Times"/>
          <w:sz w:val="20"/>
          <w:lang w:val="en-US"/>
        </w:rPr>
        <w:t>.</w:t>
      </w:r>
      <w:r w:rsidRPr="007C05CA">
        <w:rPr>
          <w:rFonts w:ascii="Times" w:hAnsi="Times"/>
          <w:sz w:val="20"/>
          <w:lang w:val="en-GB"/>
        </w:rPr>
        <w:t xml:space="preserve"> </w:t>
      </w:r>
      <w:r w:rsidR="00642EEB">
        <w:rPr>
          <w:rFonts w:ascii="Times" w:hAnsi="Times"/>
          <w:sz w:val="20"/>
          <w:lang w:val="en-US"/>
        </w:rPr>
        <w:t>Among</w:t>
      </w:r>
      <w:r w:rsidRPr="007C05CA">
        <w:rPr>
          <w:rFonts w:ascii="Times" w:hAnsi="Times"/>
          <w:sz w:val="20"/>
          <w:lang w:val="en-GB"/>
        </w:rPr>
        <w:t xml:space="preserve"> the main ones are the level of accidents in power equipment, the rules for scheduled repairs of power equipment, the development of the electric network, the amount of damage to consumers from insufficient reliability of the power system. The main criterion for solving the problem of optimal </w:t>
      </w:r>
      <w:r w:rsidR="00EC4CB6">
        <w:rPr>
          <w:rFonts w:ascii="Times" w:hAnsi="Times"/>
          <w:sz w:val="20"/>
          <w:lang w:val="en-GB"/>
        </w:rPr>
        <w:t>reserves</w:t>
      </w:r>
      <w:r w:rsidRPr="007C05CA">
        <w:rPr>
          <w:rFonts w:ascii="Times" w:hAnsi="Times"/>
          <w:sz w:val="20"/>
          <w:lang w:val="en-GB"/>
        </w:rPr>
        <w:t xml:space="preserve"> of generating capacity </w:t>
      </w:r>
      <w:r w:rsidR="00943AC0">
        <w:rPr>
          <w:rFonts w:ascii="Times" w:hAnsi="Times"/>
          <w:sz w:val="20"/>
          <w:lang w:val="en-US"/>
        </w:rPr>
        <w:t>of</w:t>
      </w:r>
      <w:r w:rsidRPr="007C05CA">
        <w:rPr>
          <w:rFonts w:ascii="Times" w:hAnsi="Times"/>
          <w:sz w:val="20"/>
          <w:lang w:val="en-GB"/>
        </w:rPr>
        <w:t xml:space="preserve"> the electric power system (EPS) is to minimize the amount of costs to increase the reliability of the EPS and the damage</w:t>
      </w:r>
      <w:r w:rsidR="00943AC0">
        <w:rPr>
          <w:rFonts w:ascii="Times" w:hAnsi="Times"/>
          <w:sz w:val="20"/>
          <w:lang w:val="en-US"/>
        </w:rPr>
        <w:t>s</w:t>
      </w:r>
      <w:r w:rsidRPr="007C05CA">
        <w:rPr>
          <w:rFonts w:ascii="Times" w:hAnsi="Times"/>
          <w:sz w:val="20"/>
          <w:lang w:val="en-GB"/>
        </w:rPr>
        <w:t xml:space="preserve"> resulting from insufficient reliability of the EPS [2-4].</w:t>
      </w:r>
    </w:p>
    <w:p w:rsidR="0095068B" w:rsidRDefault="00943AC0" w:rsidP="004B4466">
      <w:pPr>
        <w:ind w:firstLine="284"/>
        <w:jc w:val="both"/>
        <w:rPr>
          <w:rFonts w:ascii="Times" w:hAnsi="Times"/>
          <w:sz w:val="20"/>
          <w:lang w:val="en-GB"/>
        </w:rPr>
      </w:pPr>
      <w:r w:rsidRPr="00943AC0">
        <w:rPr>
          <w:rFonts w:ascii="Times" w:hAnsi="Times"/>
          <w:sz w:val="20"/>
          <w:lang w:val="en-GB"/>
        </w:rPr>
        <w:t>A wide range of indicators is determined</w:t>
      </w:r>
      <w:r w:rsidRPr="00943AC0">
        <w:rPr>
          <w:rFonts w:ascii="Times" w:hAnsi="Times"/>
          <w:sz w:val="20"/>
          <w:lang w:val="en-US"/>
        </w:rPr>
        <w:t xml:space="preserve"> </w:t>
      </w:r>
      <w:r>
        <w:rPr>
          <w:rFonts w:ascii="Times" w:hAnsi="Times"/>
          <w:sz w:val="20"/>
          <w:lang w:val="en-US"/>
        </w:rPr>
        <w:t>in adequacy assessme</w:t>
      </w:r>
      <w:r w:rsidR="004B4466">
        <w:rPr>
          <w:rFonts w:ascii="Times" w:hAnsi="Times"/>
          <w:sz w:val="20"/>
          <w:lang w:val="en-US"/>
        </w:rPr>
        <w:t xml:space="preserve">nt. </w:t>
      </w:r>
      <w:r w:rsidR="004B4466">
        <w:rPr>
          <w:rFonts w:ascii="Times" w:hAnsi="Times"/>
          <w:sz w:val="20"/>
          <w:lang w:val="en-GB"/>
        </w:rPr>
        <w:t xml:space="preserve">They </w:t>
      </w:r>
      <w:r w:rsidRPr="00943AC0">
        <w:rPr>
          <w:rFonts w:ascii="Times" w:hAnsi="Times"/>
          <w:sz w:val="20"/>
          <w:lang w:val="en-GB"/>
        </w:rPr>
        <w:t>are associated with damage and characterize the level of reliability of the power system.</w:t>
      </w:r>
      <w:r w:rsidR="004B4466">
        <w:rPr>
          <w:rFonts w:ascii="Times" w:hAnsi="Times"/>
          <w:sz w:val="20"/>
          <w:lang w:val="en-GB"/>
        </w:rPr>
        <w:t xml:space="preserve"> </w:t>
      </w:r>
      <w:r w:rsidR="0095068B">
        <w:rPr>
          <w:rFonts w:ascii="Times" w:hAnsi="Times"/>
          <w:sz w:val="20"/>
          <w:lang w:val="en-GB"/>
        </w:rPr>
        <w:t>T</w:t>
      </w:r>
      <w:r w:rsidR="0095068B" w:rsidRPr="0095068B">
        <w:rPr>
          <w:rFonts w:ascii="Times" w:hAnsi="Times"/>
          <w:sz w:val="20"/>
          <w:lang w:val="en-GB"/>
        </w:rPr>
        <w:t>he probability of deficit-free operation</w:t>
      </w:r>
      <w:r w:rsidR="0095068B" w:rsidRPr="0095068B">
        <w:t xml:space="preserve"> </w:t>
      </w:r>
      <w:r w:rsidR="0095068B" w:rsidRPr="0095068B">
        <w:rPr>
          <w:rFonts w:ascii="Times" w:hAnsi="Times"/>
          <w:sz w:val="20"/>
          <w:lang w:val="en-GB"/>
        </w:rPr>
        <w:t>can be used</w:t>
      </w:r>
      <w:r w:rsidR="0095068B" w:rsidRPr="0095068B">
        <w:t xml:space="preserve"> </w:t>
      </w:r>
      <w:r w:rsidR="0095068B" w:rsidRPr="0095068B">
        <w:rPr>
          <w:rFonts w:ascii="Times" w:hAnsi="Times"/>
          <w:sz w:val="20"/>
          <w:lang w:val="en-GB"/>
        </w:rPr>
        <w:t>instead of using damage from low rel</w:t>
      </w:r>
      <w:r w:rsidR="0095068B">
        <w:rPr>
          <w:rFonts w:ascii="Times" w:hAnsi="Times"/>
          <w:sz w:val="20"/>
          <w:lang w:val="en-GB"/>
        </w:rPr>
        <w:t>iability</w:t>
      </w:r>
      <w:r w:rsidR="0095068B" w:rsidRPr="0095068B">
        <w:rPr>
          <w:rFonts w:ascii="Times" w:hAnsi="Times"/>
          <w:sz w:val="20"/>
          <w:lang w:val="en-GB"/>
        </w:rPr>
        <w:t xml:space="preserve"> </w:t>
      </w:r>
      <w:proofErr w:type="spellStart"/>
      <w:r w:rsidR="0095068B">
        <w:rPr>
          <w:rFonts w:ascii="Times" w:hAnsi="Times"/>
          <w:sz w:val="20"/>
          <w:lang w:val="en-US"/>
        </w:rPr>
        <w:t>i</w:t>
      </w:r>
      <w:proofErr w:type="spellEnd"/>
      <w:r w:rsidR="00F43F05" w:rsidRPr="00F43F05">
        <w:rPr>
          <w:rFonts w:ascii="Times" w:hAnsi="Times"/>
          <w:sz w:val="20"/>
          <w:lang w:val="en-GB"/>
        </w:rPr>
        <w:t xml:space="preserve">n the problem of optimal reservation of generating capacity. </w:t>
      </w:r>
      <w:r w:rsidR="0095068B">
        <w:rPr>
          <w:rFonts w:ascii="Times" w:hAnsi="Times"/>
          <w:sz w:val="20"/>
          <w:lang w:val="en-US"/>
        </w:rPr>
        <w:t>In the main</w:t>
      </w:r>
      <w:r w:rsidR="00F43F05" w:rsidRPr="00F43F05">
        <w:rPr>
          <w:rFonts w:ascii="Times" w:hAnsi="Times"/>
          <w:sz w:val="20"/>
          <w:lang w:val="en-GB"/>
        </w:rPr>
        <w:t xml:space="preserve">, </w:t>
      </w:r>
      <w:r w:rsidR="0095068B" w:rsidRPr="0095068B">
        <w:rPr>
          <w:rFonts w:ascii="Times" w:hAnsi="Times"/>
          <w:sz w:val="20"/>
          <w:lang w:val="en-GB"/>
        </w:rPr>
        <w:t xml:space="preserve">the probability of deficit-free operation </w:t>
      </w:r>
      <w:r w:rsidR="0095068B">
        <w:rPr>
          <w:rFonts w:ascii="Times" w:hAnsi="Times"/>
          <w:sz w:val="20"/>
          <w:lang w:val="en-GB"/>
        </w:rPr>
        <w:t>is used</w:t>
      </w:r>
      <w:r w:rsidR="0095068B" w:rsidRPr="0095068B">
        <w:rPr>
          <w:rFonts w:ascii="Times" w:hAnsi="Times"/>
          <w:sz w:val="20"/>
          <w:lang w:val="en-GB"/>
        </w:rPr>
        <w:t xml:space="preserve"> as an additional constraint [4]</w:t>
      </w:r>
      <w:r w:rsidR="0095068B">
        <w:rPr>
          <w:rFonts w:ascii="Times" w:hAnsi="Times"/>
          <w:sz w:val="20"/>
          <w:lang w:val="en-GB"/>
        </w:rPr>
        <w:t>.</w:t>
      </w:r>
      <w:r w:rsidR="00F43F05" w:rsidRPr="00F43F05">
        <w:rPr>
          <w:rFonts w:ascii="Times" w:hAnsi="Times"/>
          <w:sz w:val="20"/>
          <w:lang w:val="en-GB"/>
        </w:rPr>
        <w:t xml:space="preserve"> This formulation of the problem is equivalent to a formulation with a </w:t>
      </w:r>
      <w:r w:rsidR="0095068B" w:rsidRPr="0095068B">
        <w:rPr>
          <w:rFonts w:ascii="Times" w:hAnsi="Times"/>
          <w:sz w:val="20"/>
          <w:lang w:val="en-GB"/>
        </w:rPr>
        <w:t>damage</w:t>
      </w:r>
      <w:r w:rsidR="00F43F05" w:rsidRPr="00F43F05">
        <w:rPr>
          <w:rFonts w:ascii="Times" w:hAnsi="Times"/>
          <w:sz w:val="20"/>
          <w:lang w:val="en-GB"/>
        </w:rPr>
        <w:t xml:space="preserve">; moreover, with this formulation, it is possible to take into account possible requirements from electricity consumers in ensuring the </w:t>
      </w:r>
      <w:r w:rsidR="00645ED6">
        <w:rPr>
          <w:rFonts w:ascii="Times" w:hAnsi="Times"/>
          <w:sz w:val="20"/>
          <w:lang w:val="en-US"/>
        </w:rPr>
        <w:t>standard</w:t>
      </w:r>
      <w:r w:rsidR="00F43F05" w:rsidRPr="00F43F05">
        <w:rPr>
          <w:rFonts w:ascii="Times" w:hAnsi="Times"/>
          <w:sz w:val="20"/>
          <w:lang w:val="en-GB"/>
        </w:rPr>
        <w:t xml:space="preserve"> level of reliability of power supply. </w:t>
      </w:r>
    </w:p>
    <w:p w:rsidR="00F43F05" w:rsidRDefault="00F43F05" w:rsidP="00F43F05">
      <w:pPr>
        <w:ind w:firstLine="284"/>
        <w:jc w:val="both"/>
        <w:rPr>
          <w:rFonts w:ascii="Times" w:hAnsi="Times"/>
          <w:sz w:val="20"/>
          <w:lang w:val="en-GB"/>
        </w:rPr>
      </w:pPr>
      <w:r w:rsidRPr="00F43F05">
        <w:rPr>
          <w:rFonts w:ascii="Times" w:hAnsi="Times"/>
          <w:sz w:val="20"/>
          <w:lang w:val="en-GB"/>
        </w:rPr>
        <w:t xml:space="preserve">It is advisable to substantiate the level of </w:t>
      </w:r>
      <w:r w:rsidR="0095068B">
        <w:rPr>
          <w:rFonts w:ascii="Times" w:hAnsi="Times"/>
          <w:sz w:val="20"/>
          <w:lang w:val="en-GB"/>
        </w:rPr>
        <w:t>reserves</w:t>
      </w:r>
      <w:r w:rsidRPr="00F43F05">
        <w:rPr>
          <w:rFonts w:ascii="Times" w:hAnsi="Times"/>
          <w:sz w:val="20"/>
          <w:lang w:val="en-GB"/>
        </w:rPr>
        <w:t xml:space="preserve"> of generating capacity in accordance with the development </w:t>
      </w:r>
      <w:r w:rsidRPr="00F43F05">
        <w:rPr>
          <w:rFonts w:ascii="Times" w:hAnsi="Times"/>
          <w:sz w:val="20"/>
          <w:lang w:val="en-GB"/>
        </w:rPr>
        <w:t xml:space="preserve">of the </w:t>
      </w:r>
      <w:r w:rsidR="009026C7">
        <w:rPr>
          <w:rFonts w:ascii="Times" w:hAnsi="Times"/>
          <w:sz w:val="20"/>
          <w:lang w:val="en-GB"/>
        </w:rPr>
        <w:t>network</w:t>
      </w:r>
      <w:r w:rsidRPr="00F43F05">
        <w:rPr>
          <w:rFonts w:ascii="Times" w:hAnsi="Times"/>
          <w:sz w:val="20"/>
          <w:lang w:val="en-GB"/>
        </w:rPr>
        <w:t xml:space="preserve"> part of the power system. In terms of ensuring the reliability of electricity consumers, these technological links are connected in series and the overestimated reliability of one of the links will not lead to the effect of ensuring the required level of reliability of electricity consumers [5].</w:t>
      </w:r>
    </w:p>
    <w:p w:rsidR="009026C7" w:rsidRDefault="007913FB" w:rsidP="00F43F05">
      <w:pPr>
        <w:ind w:firstLine="284"/>
        <w:jc w:val="both"/>
        <w:rPr>
          <w:rFonts w:ascii="Times" w:hAnsi="Times"/>
          <w:sz w:val="20"/>
          <w:lang w:val="en-US"/>
        </w:rPr>
      </w:pPr>
      <w:r w:rsidRPr="007913FB">
        <w:rPr>
          <w:rFonts w:ascii="Times" w:hAnsi="Times"/>
          <w:sz w:val="20"/>
          <w:lang w:val="en-US"/>
        </w:rPr>
        <w:t>The amount of generating capacity reserves influence to many strategic mechanisms for the development of the power system.</w:t>
      </w:r>
      <w:r>
        <w:rPr>
          <w:rFonts w:ascii="Times" w:hAnsi="Times"/>
          <w:sz w:val="20"/>
          <w:lang w:val="en-US"/>
        </w:rPr>
        <w:t xml:space="preserve"> </w:t>
      </w:r>
      <w:r w:rsidRPr="007913FB">
        <w:rPr>
          <w:rFonts w:ascii="Times" w:hAnsi="Times"/>
          <w:sz w:val="20"/>
          <w:lang w:val="en-US"/>
        </w:rPr>
        <w:t>For example, within the framework of the capacity market, the main mechanism is competitive power take-off (C</w:t>
      </w:r>
      <w:r w:rsidR="00905F41">
        <w:rPr>
          <w:rFonts w:ascii="Times" w:hAnsi="Times"/>
          <w:sz w:val="20"/>
          <w:lang w:val="ru-RU"/>
        </w:rPr>
        <w:t>РТ</w:t>
      </w:r>
      <w:r w:rsidRPr="007913FB">
        <w:rPr>
          <w:rFonts w:ascii="Times" w:hAnsi="Times"/>
          <w:sz w:val="20"/>
          <w:lang w:val="en-US"/>
        </w:rPr>
        <w:t>) [6]. The amount of the generating capacity reserve is included in the demand for capacity during the C</w:t>
      </w:r>
      <w:r w:rsidR="00905F41">
        <w:rPr>
          <w:rFonts w:ascii="Times" w:hAnsi="Times"/>
          <w:sz w:val="20"/>
          <w:lang w:val="ru-RU"/>
        </w:rPr>
        <w:t>РТ</w:t>
      </w:r>
      <w:r w:rsidRPr="007913FB">
        <w:rPr>
          <w:rFonts w:ascii="Times" w:hAnsi="Times"/>
          <w:sz w:val="20"/>
          <w:lang w:val="en-US"/>
        </w:rPr>
        <w:t xml:space="preserve"> and, accordingly, directly affects the final price of capacity.</w:t>
      </w:r>
      <w:r w:rsidR="00905F41" w:rsidRPr="00905F41">
        <w:rPr>
          <w:rFonts w:ascii="Times" w:hAnsi="Times"/>
          <w:sz w:val="20"/>
          <w:lang w:val="en-US"/>
        </w:rPr>
        <w:t xml:space="preserve"> As a first approximation, for the first price zone of the </w:t>
      </w:r>
      <w:r w:rsidR="000E17D0" w:rsidRPr="002F5827">
        <w:rPr>
          <w:rFonts w:ascii="Times New Roman" w:hAnsi="Times New Roman" w:cs="Times New Roman"/>
          <w:sz w:val="18"/>
          <w:szCs w:val="18"/>
          <w:lang w:val="en-GB"/>
        </w:rPr>
        <w:t xml:space="preserve">Unified </w:t>
      </w:r>
      <w:r w:rsidR="000E17D0">
        <w:rPr>
          <w:rFonts w:ascii="Times New Roman" w:hAnsi="Times New Roman" w:cs="Times New Roman"/>
          <w:sz w:val="18"/>
          <w:szCs w:val="18"/>
          <w:lang w:val="en-GB"/>
        </w:rPr>
        <w:t>Power</w:t>
      </w:r>
      <w:r w:rsidR="000E17D0" w:rsidRPr="002F5827">
        <w:rPr>
          <w:rFonts w:ascii="Times New Roman" w:hAnsi="Times New Roman" w:cs="Times New Roman"/>
          <w:sz w:val="18"/>
          <w:szCs w:val="18"/>
          <w:lang w:val="en-GB"/>
        </w:rPr>
        <w:t xml:space="preserve"> System (U</w:t>
      </w:r>
      <w:r w:rsidR="000E17D0">
        <w:rPr>
          <w:rFonts w:ascii="Times New Roman" w:hAnsi="Times New Roman" w:cs="Times New Roman"/>
          <w:sz w:val="18"/>
          <w:szCs w:val="18"/>
          <w:lang w:val="en-GB"/>
        </w:rPr>
        <w:t>P</w:t>
      </w:r>
      <w:r w:rsidR="000E17D0" w:rsidRPr="002F5827">
        <w:rPr>
          <w:rFonts w:ascii="Times New Roman" w:hAnsi="Times New Roman" w:cs="Times New Roman"/>
          <w:sz w:val="18"/>
          <w:szCs w:val="18"/>
          <w:lang w:val="en-GB"/>
        </w:rPr>
        <w:t>S)</w:t>
      </w:r>
      <w:r w:rsidR="00905F41" w:rsidRPr="00905F41">
        <w:rPr>
          <w:rFonts w:ascii="Times" w:hAnsi="Times"/>
          <w:sz w:val="20"/>
          <w:lang w:val="en-US"/>
        </w:rPr>
        <w:t xml:space="preserve"> of Russia, a decrease in demand and, accordingly, in the amount of the generating capacity reserve by 5% will lead to a decrease in the price during C</w:t>
      </w:r>
      <w:r w:rsidR="00905F41">
        <w:rPr>
          <w:rFonts w:ascii="Times" w:hAnsi="Times"/>
          <w:sz w:val="20"/>
          <w:lang w:val="ru-RU"/>
        </w:rPr>
        <w:t>РТ</w:t>
      </w:r>
      <w:r w:rsidR="00905F41" w:rsidRPr="00905F41">
        <w:rPr>
          <w:rFonts w:ascii="Times" w:hAnsi="Times"/>
          <w:sz w:val="20"/>
          <w:lang w:val="en-US"/>
        </w:rPr>
        <w:t xml:space="preserve"> by 15%, and in the second price zone of the U</w:t>
      </w:r>
      <w:r w:rsidR="000E17D0">
        <w:rPr>
          <w:rFonts w:ascii="Times" w:hAnsi="Times"/>
          <w:sz w:val="20"/>
          <w:lang w:val="en-US"/>
        </w:rPr>
        <w:t>P</w:t>
      </w:r>
      <w:r w:rsidR="00905F41" w:rsidRPr="00905F41">
        <w:rPr>
          <w:rFonts w:ascii="Times" w:hAnsi="Times"/>
          <w:sz w:val="20"/>
          <w:lang w:val="en-US"/>
        </w:rPr>
        <w:t>S of Russia, a decrease in demand by 5% may lead to a 12% decrease in the price C</w:t>
      </w:r>
      <w:r w:rsidR="00905F41">
        <w:rPr>
          <w:rFonts w:ascii="Times" w:hAnsi="Times"/>
          <w:sz w:val="20"/>
          <w:lang w:val="ru-RU"/>
        </w:rPr>
        <w:t>РТ</w:t>
      </w:r>
      <w:r w:rsidR="00905F41" w:rsidRPr="00905F41">
        <w:rPr>
          <w:rFonts w:ascii="Times" w:hAnsi="Times"/>
          <w:sz w:val="20"/>
          <w:lang w:val="en-US"/>
        </w:rPr>
        <w:t>.</w:t>
      </w:r>
    </w:p>
    <w:p w:rsidR="00905F41" w:rsidRDefault="001B0424" w:rsidP="00F43F05">
      <w:pPr>
        <w:ind w:firstLine="284"/>
        <w:jc w:val="both"/>
        <w:rPr>
          <w:rFonts w:ascii="Times" w:hAnsi="Times"/>
          <w:sz w:val="20"/>
          <w:lang w:val="en-US"/>
        </w:rPr>
      </w:pPr>
      <w:r w:rsidRPr="001B0424">
        <w:rPr>
          <w:rFonts w:ascii="Times" w:hAnsi="Times"/>
          <w:sz w:val="20"/>
          <w:lang w:val="en-US"/>
        </w:rPr>
        <w:t xml:space="preserve">At the present stage of the development of the electric power industry in Russia, a number of various problems have accumulated in the </w:t>
      </w:r>
      <w:r>
        <w:rPr>
          <w:rFonts w:ascii="Times" w:hAnsi="Times"/>
          <w:sz w:val="20"/>
          <w:lang w:val="en-US"/>
        </w:rPr>
        <w:t>EP</w:t>
      </w:r>
      <w:r w:rsidRPr="001B0424">
        <w:rPr>
          <w:rFonts w:ascii="Times" w:hAnsi="Times"/>
          <w:sz w:val="20"/>
          <w:lang w:val="en-US"/>
        </w:rPr>
        <w:t xml:space="preserve">S of Russia. One of the essential is significant volumes of morally and physically obsolete generating capacities [7]. Combined with low demand for power from consumers and problems with old capacity, the efficiency of the power system is extremely low. In addition, in modern conditions of the functioning and development of power systems, the uncertainty in power generation increases due to the integration of renewable energy sources into the power system, which makes the task of determining the optimal level of </w:t>
      </w:r>
      <w:r>
        <w:rPr>
          <w:rFonts w:ascii="Times" w:hAnsi="Times"/>
          <w:sz w:val="20"/>
          <w:lang w:val="en-US"/>
        </w:rPr>
        <w:t>reserves</w:t>
      </w:r>
      <w:r w:rsidRPr="001B0424">
        <w:rPr>
          <w:rFonts w:ascii="Times" w:hAnsi="Times"/>
          <w:sz w:val="20"/>
          <w:lang w:val="en-US"/>
        </w:rPr>
        <w:t xml:space="preserve"> even more urgent [8].</w:t>
      </w:r>
    </w:p>
    <w:p w:rsidR="001B0424" w:rsidRDefault="001B0424" w:rsidP="00F43F05">
      <w:pPr>
        <w:ind w:firstLine="284"/>
        <w:jc w:val="both"/>
        <w:rPr>
          <w:rFonts w:ascii="Times" w:hAnsi="Times"/>
          <w:sz w:val="20"/>
          <w:lang w:val="en-US"/>
        </w:rPr>
      </w:pPr>
      <w:r w:rsidRPr="001B0424">
        <w:rPr>
          <w:rFonts w:ascii="Times" w:hAnsi="Times"/>
          <w:sz w:val="20"/>
          <w:lang w:val="en-US"/>
        </w:rPr>
        <w:lastRenderedPageBreak/>
        <w:t>In addition, in the legislative framework of the Russian Federation, the requirements for the levels of re</w:t>
      </w:r>
      <w:r>
        <w:rPr>
          <w:rFonts w:ascii="Times" w:hAnsi="Times"/>
          <w:sz w:val="20"/>
          <w:lang w:val="en-US"/>
        </w:rPr>
        <w:t>serves</w:t>
      </w:r>
      <w:r w:rsidRPr="001B0424">
        <w:rPr>
          <w:rFonts w:ascii="Times" w:hAnsi="Times"/>
          <w:sz w:val="20"/>
          <w:lang w:val="en-US"/>
        </w:rPr>
        <w:t xml:space="preserve"> of generating capacity in the </w:t>
      </w:r>
      <w:r>
        <w:rPr>
          <w:rFonts w:ascii="Times" w:hAnsi="Times"/>
          <w:sz w:val="20"/>
          <w:lang w:val="en-US"/>
        </w:rPr>
        <w:t>U</w:t>
      </w:r>
      <w:r w:rsidR="000E17D0">
        <w:rPr>
          <w:rFonts w:ascii="Times" w:hAnsi="Times"/>
          <w:sz w:val="20"/>
          <w:lang w:val="en-US"/>
        </w:rPr>
        <w:t>P</w:t>
      </w:r>
      <w:r>
        <w:rPr>
          <w:rFonts w:ascii="Times" w:hAnsi="Times"/>
          <w:sz w:val="20"/>
          <w:lang w:val="en-US"/>
        </w:rPr>
        <w:t>S</w:t>
      </w:r>
      <w:r w:rsidRPr="001B0424">
        <w:rPr>
          <w:rFonts w:ascii="Times" w:hAnsi="Times"/>
          <w:sz w:val="20"/>
          <w:lang w:val="en-US"/>
        </w:rPr>
        <w:t xml:space="preserve"> of Russia are not clearly formulated, and in some </w:t>
      </w:r>
      <w:r w:rsidR="00384D9A" w:rsidRPr="001B0424">
        <w:rPr>
          <w:rFonts w:ascii="Times" w:hAnsi="Times"/>
          <w:sz w:val="20"/>
          <w:lang w:val="en-US"/>
        </w:rPr>
        <w:t>documents,</w:t>
      </w:r>
      <w:r w:rsidR="002759FA">
        <w:rPr>
          <w:rFonts w:ascii="Times" w:hAnsi="Times"/>
          <w:sz w:val="20"/>
          <w:lang w:val="en-US"/>
        </w:rPr>
        <w:t xml:space="preserve"> t</w:t>
      </w:r>
      <w:r w:rsidRPr="001B0424">
        <w:rPr>
          <w:rFonts w:ascii="Times" w:hAnsi="Times"/>
          <w:sz w:val="20"/>
          <w:lang w:val="en-US"/>
        </w:rPr>
        <w:t>hey contradict each other. Work is currently underway to eliminate this deficiency at present time.</w:t>
      </w:r>
    </w:p>
    <w:p w:rsidR="00384D9A" w:rsidRPr="00CA1091" w:rsidRDefault="00384D9A" w:rsidP="00384D9A">
      <w:pPr>
        <w:spacing w:before="340" w:after="170"/>
        <w:jc w:val="both"/>
        <w:rPr>
          <w:rFonts w:ascii="Arial" w:hAnsi="Arial" w:cs="Arial"/>
          <w:b/>
          <w:caps/>
          <w:szCs w:val="24"/>
          <w:lang w:val="en-GB"/>
        </w:rPr>
      </w:pPr>
      <w:r>
        <w:rPr>
          <w:rFonts w:ascii="Arial" w:hAnsi="Arial" w:cs="Arial"/>
          <w:b/>
          <w:szCs w:val="24"/>
          <w:lang w:val="en-US"/>
        </w:rPr>
        <w:t>Problem statement</w:t>
      </w:r>
      <w:r w:rsidRPr="00CA1091">
        <w:rPr>
          <w:rFonts w:ascii="Arial" w:hAnsi="Arial" w:cs="Arial"/>
          <w:b/>
          <w:caps/>
          <w:szCs w:val="24"/>
          <w:lang w:val="en-GB"/>
        </w:rPr>
        <w:t xml:space="preserve"> </w:t>
      </w:r>
    </w:p>
    <w:p w:rsidR="00384D9A" w:rsidRDefault="00FF0D95" w:rsidP="00384D9A">
      <w:pPr>
        <w:ind w:firstLine="284"/>
        <w:jc w:val="both"/>
        <w:rPr>
          <w:rFonts w:ascii="Times" w:hAnsi="Times"/>
          <w:sz w:val="20"/>
          <w:lang w:val="en-GB"/>
        </w:rPr>
      </w:pPr>
      <w:r w:rsidRPr="00FF0D95">
        <w:rPr>
          <w:rFonts w:ascii="Times" w:hAnsi="Times"/>
          <w:sz w:val="20"/>
          <w:lang w:val="en-GB"/>
        </w:rPr>
        <w:t>When determining the level of redundancy of generating capacity, an important factor is the selection and justification of the criterion of redundancy. Adequacy indices are used as such a criterion. Obtaining adequacy indices is carried out using a technique based on the Monte Carlo method [9,10]. In this case, the power system, as a rule, is represented as a set of reliability zones connected by inter-zone connections. The reliability zone is a part of the power system within which there are no power limitations in all possible steady-states. Inter-zone communication is a set of transmission lines that connect two identical zones of reliability. In the power system, there is a concept as a controlled section. The controlled section is a set of power transmission lines for which the maximum permissible active power flow has been determined. In the design scheme for adequacy assessment, the inter-zone connection and the controlled cross-section may not coincide; in this case, when minimizing the power deficit, it is necessary to use special algorithms to take into account the network component [11].</w:t>
      </w:r>
    </w:p>
    <w:p w:rsidR="00FF0D95" w:rsidRDefault="001463BE" w:rsidP="00384D9A">
      <w:pPr>
        <w:ind w:firstLine="284"/>
        <w:jc w:val="both"/>
        <w:rPr>
          <w:rFonts w:ascii="Times" w:hAnsi="Times"/>
          <w:sz w:val="20"/>
          <w:lang w:val="en-US"/>
        </w:rPr>
      </w:pPr>
      <w:r w:rsidRPr="001463BE">
        <w:rPr>
          <w:rFonts w:ascii="Times" w:hAnsi="Times"/>
          <w:sz w:val="20"/>
          <w:lang w:val="en-US"/>
        </w:rPr>
        <w:t xml:space="preserve">As already noted, the probability of a deficit-free operation can be taken as a criterion for ensuring </w:t>
      </w:r>
      <w:r>
        <w:rPr>
          <w:rFonts w:ascii="Times" w:hAnsi="Times"/>
          <w:sz w:val="20"/>
          <w:lang w:val="en-US"/>
        </w:rPr>
        <w:t>adequacy</w:t>
      </w:r>
      <w:r w:rsidRPr="001463BE">
        <w:rPr>
          <w:rFonts w:ascii="Times" w:hAnsi="Times"/>
          <w:sz w:val="20"/>
          <w:lang w:val="en-US"/>
        </w:rPr>
        <w:t xml:space="preserve"> [9,12]. To substantiate the normative value of this indicator, a methodology has been developed, which is presented in [13].</w:t>
      </w:r>
    </w:p>
    <w:p w:rsidR="00EE268A" w:rsidRDefault="0073779F" w:rsidP="00F43F05">
      <w:pPr>
        <w:ind w:firstLine="284"/>
        <w:jc w:val="both"/>
        <w:rPr>
          <w:rFonts w:ascii="Times" w:hAnsi="Times"/>
          <w:sz w:val="20"/>
          <w:lang w:val="en-US"/>
        </w:rPr>
      </w:pPr>
      <w:r>
        <w:rPr>
          <w:rFonts w:ascii="Times" w:hAnsi="Times"/>
          <w:sz w:val="20"/>
          <w:lang w:val="en-US"/>
        </w:rPr>
        <w:t>A</w:t>
      </w:r>
      <w:r w:rsidRPr="0073779F">
        <w:rPr>
          <w:rFonts w:ascii="Times" w:hAnsi="Times"/>
          <w:sz w:val="20"/>
          <w:lang w:val="en-US"/>
        </w:rPr>
        <w:t>s mentioned above</w:t>
      </w:r>
      <w:r>
        <w:rPr>
          <w:rFonts w:ascii="Times" w:hAnsi="Times"/>
          <w:sz w:val="20"/>
          <w:lang w:val="en-US"/>
        </w:rPr>
        <w:t xml:space="preserve">, </w:t>
      </w:r>
      <w:r w:rsidR="001463BE" w:rsidRPr="001463BE">
        <w:rPr>
          <w:rFonts w:ascii="Times" w:hAnsi="Times"/>
          <w:sz w:val="20"/>
          <w:lang w:val="en-US"/>
        </w:rPr>
        <w:t>the current state of the U</w:t>
      </w:r>
      <w:r w:rsidR="000E17D0">
        <w:rPr>
          <w:rFonts w:ascii="Times" w:hAnsi="Times"/>
          <w:sz w:val="20"/>
          <w:lang w:val="en-US"/>
        </w:rPr>
        <w:t>P</w:t>
      </w:r>
      <w:r w:rsidR="001463BE" w:rsidRPr="001463BE">
        <w:rPr>
          <w:rFonts w:ascii="Times" w:hAnsi="Times"/>
          <w:sz w:val="20"/>
          <w:lang w:val="en-US"/>
        </w:rPr>
        <w:t>S of Russia</w:t>
      </w:r>
      <w:r>
        <w:rPr>
          <w:rFonts w:ascii="Times" w:hAnsi="Times"/>
          <w:sz w:val="20"/>
          <w:lang w:val="en-US"/>
        </w:rPr>
        <w:t xml:space="preserve"> </w:t>
      </w:r>
      <w:r w:rsidR="001463BE" w:rsidRPr="001463BE">
        <w:rPr>
          <w:rFonts w:ascii="Times" w:hAnsi="Times"/>
          <w:sz w:val="20"/>
          <w:lang w:val="en-US"/>
        </w:rPr>
        <w:t>is characterized by surpluses of old and inefficient generating capacities, with local problems in some power regions</w:t>
      </w:r>
      <w:r w:rsidRPr="0073779F">
        <w:rPr>
          <w:rFonts w:ascii="Times" w:hAnsi="Times"/>
          <w:sz w:val="20"/>
          <w:lang w:val="en-US"/>
        </w:rPr>
        <w:t>.</w:t>
      </w:r>
      <w:r w:rsidR="001463BE" w:rsidRPr="001463BE">
        <w:rPr>
          <w:rFonts w:ascii="Times" w:hAnsi="Times"/>
          <w:sz w:val="20"/>
          <w:lang w:val="en-US"/>
        </w:rPr>
        <w:t xml:space="preserve"> </w:t>
      </w:r>
      <w:r w:rsidR="00751B81">
        <w:rPr>
          <w:rFonts w:ascii="Times" w:hAnsi="Times"/>
          <w:sz w:val="20"/>
          <w:lang w:val="en-US"/>
        </w:rPr>
        <w:t>T</w:t>
      </w:r>
      <w:r w:rsidR="00751B81" w:rsidRPr="001463BE">
        <w:rPr>
          <w:rFonts w:ascii="Times" w:hAnsi="Times"/>
          <w:sz w:val="20"/>
          <w:lang w:val="en-US"/>
        </w:rPr>
        <w:t>herefore,</w:t>
      </w:r>
      <w:r w:rsidR="001463BE" w:rsidRPr="001463BE">
        <w:rPr>
          <w:rFonts w:ascii="Times" w:hAnsi="Times"/>
          <w:sz w:val="20"/>
          <w:lang w:val="en-US"/>
        </w:rPr>
        <w:t xml:space="preserve"> the task for the study was formulated as the task of minimizing the available power of the EPS, corresponding to the standard level of probability of deficit-free operation, taking into account the </w:t>
      </w:r>
      <w:r w:rsidRPr="0073779F">
        <w:rPr>
          <w:rFonts w:ascii="Times" w:hAnsi="Times"/>
          <w:sz w:val="20"/>
          <w:lang w:val="en-US"/>
        </w:rPr>
        <w:t>decommissioning</w:t>
      </w:r>
      <w:r w:rsidR="001463BE" w:rsidRPr="001463BE">
        <w:rPr>
          <w:rFonts w:ascii="Times" w:hAnsi="Times"/>
          <w:sz w:val="20"/>
          <w:lang w:val="en-US"/>
        </w:rPr>
        <w:t xml:space="preserve"> of the existing generating units.</w:t>
      </w:r>
    </w:p>
    <w:p w:rsidR="00751B81" w:rsidRPr="009517AE" w:rsidRDefault="00751B81" w:rsidP="00F43F05">
      <w:pPr>
        <w:ind w:firstLine="284"/>
        <w:jc w:val="both"/>
        <w:rPr>
          <w:rFonts w:ascii="Times" w:hAnsi="Times"/>
          <w:sz w:val="20"/>
          <w:lang w:val="en-US"/>
        </w:rPr>
      </w:pPr>
      <w:r w:rsidRPr="00751B81">
        <w:rPr>
          <w:rFonts w:ascii="Times" w:hAnsi="Times"/>
          <w:sz w:val="20"/>
          <w:lang w:val="en-US"/>
        </w:rPr>
        <w:t>The considered problem is</w:t>
      </w:r>
      <w:r w:rsidRPr="009517AE">
        <w:rPr>
          <w:rFonts w:ascii="Times" w:hAnsi="Times"/>
          <w:sz w:val="20"/>
          <w:lang w:val="en-US"/>
        </w:rPr>
        <w:t>:</w:t>
      </w:r>
    </w:p>
    <w:p w:rsidR="00751B81" w:rsidRPr="004510DF" w:rsidRDefault="00751B81" w:rsidP="00751B81">
      <w:pPr>
        <w:tabs>
          <w:tab w:val="center" w:pos="4395"/>
          <w:tab w:val="right" w:pos="4536"/>
        </w:tabs>
        <w:spacing w:before="170" w:after="170"/>
        <w:rPr>
          <w:rFonts w:ascii="Times" w:hAnsi="Times"/>
          <w:sz w:val="20"/>
        </w:rPr>
      </w:pPr>
      <w:r w:rsidRPr="009517AE">
        <w:rPr>
          <w:rFonts w:ascii="Times" w:hAnsi="Times"/>
          <w:i/>
          <w:iCs/>
          <w:sz w:val="20"/>
          <w:lang w:val="en-US"/>
        </w:rPr>
        <w:t xml:space="preserve">                              </w:t>
      </w:r>
      <w:bookmarkStart w:id="0" w:name="_Hlk48727780"/>
      <w:r w:rsidR="009517AE">
        <w:rPr>
          <w:rFonts w:ascii="Times" w:hAnsi="Times"/>
          <w:i/>
          <w:iCs/>
          <w:sz w:val="20"/>
          <w:lang w:val="en-US"/>
        </w:rPr>
        <w:t xml:space="preserve">  </w:t>
      </w:r>
      <m:oMath>
        <m:nary>
          <m:naryPr>
            <m:chr m:val="∑"/>
            <m:limLoc m:val="undOvr"/>
            <m:ctrlPr>
              <w:rPr>
                <w:rFonts w:ascii="Cambria Math" w:hAnsi="Cambria Math"/>
                <w:i/>
                <w:iCs/>
                <w:sz w:val="20"/>
                <w:lang w:val="ru-RU"/>
              </w:rPr>
            </m:ctrlPr>
          </m:naryPr>
          <m:sub>
            <m:r>
              <w:rPr>
                <w:rFonts w:ascii="Cambria Math" w:hAnsi="Cambria Math"/>
                <w:sz w:val="20"/>
                <w:lang w:val="ru-RU"/>
              </w:rPr>
              <m:t>j</m:t>
            </m:r>
            <m:r>
              <w:rPr>
                <w:rFonts w:ascii="Cambria Math" w:hAnsi="Cambria Math"/>
                <w:sz w:val="20"/>
                <w:lang w:val="en-US"/>
              </w:rPr>
              <m:t>=1</m:t>
            </m:r>
          </m:sub>
          <m:sup>
            <m:r>
              <w:rPr>
                <w:rFonts w:ascii="Cambria Math" w:hAnsi="Cambria Math"/>
                <w:sz w:val="20"/>
                <w:lang w:val="en-US"/>
              </w:rPr>
              <m:t>J</m:t>
            </m:r>
          </m:sup>
          <m:e>
            <m:sSub>
              <m:sSubPr>
                <m:ctrlPr>
                  <w:rPr>
                    <w:rFonts w:ascii="Cambria Math" w:hAnsi="Cambria Math"/>
                    <w:i/>
                    <w:iCs/>
                    <w:sz w:val="20"/>
                    <w:lang w:val="ru-RU"/>
                  </w:rPr>
                </m:ctrlPr>
              </m:sSubPr>
              <m:e>
                <m:r>
                  <w:rPr>
                    <w:rFonts w:ascii="Cambria Math" w:hAnsi="Cambria Math"/>
                    <w:sz w:val="20"/>
                    <w:lang w:val="ru-RU"/>
                  </w:rPr>
                  <m:t>x</m:t>
                </m:r>
              </m:e>
              <m:sub>
                <m:r>
                  <w:rPr>
                    <w:rFonts w:ascii="Cambria Math" w:hAnsi="Cambria Math"/>
                    <w:sz w:val="20"/>
                    <w:lang w:val="ru-RU"/>
                  </w:rPr>
                  <m:t>j</m:t>
                </m:r>
              </m:sub>
            </m:sSub>
            <m:sSub>
              <m:sSubPr>
                <m:ctrlPr>
                  <w:rPr>
                    <w:rFonts w:ascii="Cambria Math" w:hAnsi="Cambria Math"/>
                    <w:i/>
                    <w:iCs/>
                    <w:sz w:val="20"/>
                    <w:lang w:val="ru-RU"/>
                  </w:rPr>
                </m:ctrlPr>
              </m:sSubPr>
              <m:e>
                <m:r>
                  <w:rPr>
                    <w:rFonts w:ascii="Cambria Math" w:hAnsi="Cambria Math"/>
                    <w:sz w:val="20"/>
                    <w:lang w:val="ru-RU"/>
                  </w:rPr>
                  <m:t>ξ</m:t>
                </m:r>
              </m:e>
              <m:sub>
                <m:r>
                  <w:rPr>
                    <w:rFonts w:ascii="Cambria Math" w:hAnsi="Cambria Math"/>
                    <w:sz w:val="20"/>
                    <w:lang w:val="ru-RU"/>
                  </w:rPr>
                  <m:t>j</m:t>
                </m:r>
                <m:r>
                  <w:rPr>
                    <w:rFonts w:ascii="Cambria Math" w:hAnsi="Cambria Math"/>
                    <w:sz w:val="20"/>
                    <w:lang w:val="en-US"/>
                  </w:rPr>
                  <m:t xml:space="preserve"> </m:t>
                </m:r>
              </m:sub>
            </m:sSub>
          </m:e>
        </m:nary>
        <m:r>
          <w:rPr>
            <w:rFonts w:ascii="Cambria Math" w:hAnsi="Cambria Math"/>
            <w:sz w:val="20"/>
            <w:lang w:val="en-US"/>
          </w:rPr>
          <m:t>→</m:t>
        </m:r>
        <m:r>
          <w:rPr>
            <w:rFonts w:ascii="Cambria Math" w:hAnsi="Cambria Math"/>
            <w:sz w:val="20"/>
            <w:lang w:val="ru-RU"/>
          </w:rPr>
          <m:t>min</m:t>
        </m:r>
        <m:r>
          <w:rPr>
            <w:rFonts w:ascii="Cambria Math" w:hAnsi="Cambria Math"/>
            <w:sz w:val="20"/>
            <w:lang w:val="en-US"/>
          </w:rPr>
          <m:t>,</m:t>
        </m:r>
      </m:oMath>
      <w:bookmarkEnd w:id="0"/>
      <w:r w:rsidRPr="004510DF">
        <w:rPr>
          <w:rFonts w:ascii="Times" w:hAnsi="Times"/>
          <w:sz w:val="20"/>
        </w:rPr>
        <w:tab/>
        <w:t xml:space="preserve"> (1)</w:t>
      </w:r>
    </w:p>
    <w:p w:rsidR="009517AE" w:rsidRDefault="009517AE" w:rsidP="009517AE">
      <w:pPr>
        <w:jc w:val="both"/>
        <w:rPr>
          <w:rFonts w:ascii="Times" w:hAnsi="Times"/>
          <w:sz w:val="20"/>
          <w:lang w:val="en-US"/>
        </w:rPr>
      </w:pPr>
      <w:r w:rsidRPr="009517AE">
        <w:rPr>
          <w:rFonts w:ascii="Times" w:hAnsi="Times"/>
          <w:sz w:val="20"/>
          <w:lang w:val="en-US"/>
        </w:rPr>
        <w:t xml:space="preserve">where constant </w:t>
      </w:r>
      <m:oMath>
        <m:sSub>
          <m:sSubPr>
            <m:ctrlPr>
              <w:rPr>
                <w:rFonts w:ascii="Cambria Math" w:hAnsi="Cambria Math"/>
                <w:i/>
                <w:sz w:val="20"/>
                <w:lang w:val="ru-RU"/>
              </w:rPr>
            </m:ctrlPr>
          </m:sSubPr>
          <m:e>
            <m:r>
              <w:rPr>
                <w:rFonts w:ascii="Cambria Math" w:hAnsi="Cambria Math"/>
                <w:sz w:val="20"/>
                <w:lang w:val="en-US"/>
              </w:rPr>
              <m:t>x</m:t>
            </m:r>
          </m:e>
          <m:sub>
            <m:r>
              <w:rPr>
                <w:rFonts w:ascii="Cambria Math" w:hAnsi="Cambria Math"/>
                <w:sz w:val="20"/>
                <w:lang w:val="ru-RU"/>
              </w:rPr>
              <m:t>j</m:t>
            </m:r>
          </m:sub>
        </m:sSub>
      </m:oMath>
      <w:r w:rsidRPr="009517AE">
        <w:rPr>
          <w:rFonts w:ascii="Times" w:hAnsi="Times"/>
          <w:sz w:val="20"/>
          <w:lang w:val="en-US"/>
        </w:rPr>
        <w:t xml:space="preserve"> - available capacity of the existing generating unit </w:t>
      </w:r>
      <m:oMath>
        <m:r>
          <w:rPr>
            <w:rFonts w:ascii="Cambria Math" w:hAnsi="Cambria Math"/>
            <w:sz w:val="20"/>
            <w:lang w:val="ru-RU"/>
          </w:rPr>
          <m:t>j</m:t>
        </m:r>
      </m:oMath>
      <w:r w:rsidRPr="009517AE">
        <w:rPr>
          <w:rFonts w:ascii="Times" w:hAnsi="Times"/>
          <w:sz w:val="20"/>
          <w:lang w:val="en-US"/>
        </w:rPr>
        <w:t xml:space="preserve">; </w:t>
      </w:r>
      <m:oMath>
        <m:r>
          <w:rPr>
            <w:rFonts w:ascii="Cambria Math" w:hAnsi="Cambria Math"/>
            <w:sz w:val="20"/>
            <w:lang w:val="ru-RU"/>
          </w:rPr>
          <m:t>J</m:t>
        </m:r>
      </m:oMath>
      <w:r w:rsidRPr="009517AE">
        <w:rPr>
          <w:rFonts w:ascii="Times" w:hAnsi="Times"/>
          <w:sz w:val="20"/>
          <w:lang w:val="en-US"/>
        </w:rPr>
        <w:t xml:space="preserve"> is the number of generating units in the EPS; the variable</w:t>
      </w:r>
      <m:oMath>
        <m:sSub>
          <m:sSubPr>
            <m:ctrlPr>
              <w:rPr>
                <w:rFonts w:ascii="Cambria Math" w:hAnsi="Cambria Math"/>
                <w:i/>
                <w:sz w:val="20"/>
                <w:lang w:val="ru-RU"/>
              </w:rPr>
            </m:ctrlPr>
          </m:sSubPr>
          <m:e>
            <m:r>
              <w:rPr>
                <w:rFonts w:ascii="Cambria Math" w:hAnsi="Cambria Math"/>
                <w:sz w:val="20"/>
                <w:lang w:val="ru-RU"/>
              </w:rPr>
              <m:t>ξ</m:t>
            </m:r>
          </m:e>
          <m:sub>
            <m:r>
              <w:rPr>
                <w:rFonts w:ascii="Cambria Math" w:hAnsi="Cambria Math"/>
                <w:sz w:val="20"/>
                <w:lang w:val="ru-RU"/>
              </w:rPr>
              <m:t>j</m:t>
            </m:r>
          </m:sub>
        </m:sSub>
        <m:r>
          <w:rPr>
            <w:rFonts w:ascii="Cambria Math" w:hAnsi="Cambria Math"/>
            <w:sz w:val="20"/>
            <w:lang w:val="en-US"/>
          </w:rPr>
          <m:t>∈</m:t>
        </m:r>
        <m:d>
          <m:dPr>
            <m:begChr m:val="{"/>
            <m:endChr m:val="}"/>
            <m:ctrlPr>
              <w:rPr>
                <w:rFonts w:ascii="Cambria Math" w:hAnsi="Cambria Math"/>
                <w:i/>
                <w:sz w:val="20"/>
                <w:lang w:val="ru-RU"/>
              </w:rPr>
            </m:ctrlPr>
          </m:dPr>
          <m:e>
            <m:r>
              <w:rPr>
                <w:rFonts w:ascii="Cambria Math" w:hAnsi="Cambria Math"/>
                <w:sz w:val="20"/>
                <w:lang w:val="en-US"/>
              </w:rPr>
              <m:t>0, 1</m:t>
            </m:r>
          </m:e>
        </m:d>
      </m:oMath>
      <w:r w:rsidRPr="009517AE">
        <w:rPr>
          <w:rFonts w:ascii="Times" w:hAnsi="Times"/>
          <w:sz w:val="20"/>
          <w:lang w:val="en-US"/>
        </w:rPr>
        <w:t xml:space="preserve"> is a sign of the presence of the generating unit </w:t>
      </w:r>
      <m:oMath>
        <m:r>
          <w:rPr>
            <w:rFonts w:ascii="Cambria Math" w:hAnsi="Cambria Math"/>
            <w:sz w:val="20"/>
            <w:lang w:val="ru-RU"/>
          </w:rPr>
          <m:t>j</m:t>
        </m:r>
      </m:oMath>
      <w:r w:rsidRPr="009517AE">
        <w:rPr>
          <w:rFonts w:ascii="Times" w:hAnsi="Times"/>
          <w:sz w:val="20"/>
          <w:lang w:val="en-US"/>
        </w:rPr>
        <w:t xml:space="preserve"> as part of the EPS generation.</w:t>
      </w:r>
    </w:p>
    <w:p w:rsidR="009517AE" w:rsidRDefault="000B582D" w:rsidP="00F43F05">
      <w:pPr>
        <w:ind w:firstLine="284"/>
        <w:jc w:val="both"/>
        <w:rPr>
          <w:rFonts w:ascii="Times" w:hAnsi="Times"/>
          <w:sz w:val="20"/>
          <w:lang w:val="en-US"/>
        </w:rPr>
      </w:pPr>
      <w:r>
        <w:rPr>
          <w:rFonts w:ascii="Times" w:hAnsi="Times"/>
          <w:sz w:val="20"/>
          <w:lang w:val="en-US"/>
        </w:rPr>
        <w:t>Variables</w:t>
      </w:r>
      <w:r w:rsidR="009517AE" w:rsidRPr="009517AE">
        <w:rPr>
          <w:rFonts w:ascii="Times" w:hAnsi="Times"/>
          <w:sz w:val="20"/>
          <w:lang w:val="en-US"/>
        </w:rPr>
        <w:t xml:space="preserve"> constraints</w:t>
      </w:r>
      <w:r w:rsidR="009517AE">
        <w:rPr>
          <w:rFonts w:ascii="Times" w:hAnsi="Times"/>
          <w:sz w:val="20"/>
          <w:lang w:val="en-US"/>
        </w:rPr>
        <w:t>:</w:t>
      </w:r>
    </w:p>
    <w:p w:rsidR="000B582D" w:rsidRPr="004510DF" w:rsidRDefault="000B582D" w:rsidP="000B582D">
      <w:pPr>
        <w:tabs>
          <w:tab w:val="center" w:pos="4395"/>
          <w:tab w:val="right" w:pos="4536"/>
        </w:tabs>
        <w:spacing w:before="170" w:after="170"/>
        <w:rPr>
          <w:rFonts w:ascii="Times" w:hAnsi="Times"/>
          <w:sz w:val="20"/>
        </w:rPr>
      </w:pPr>
      <w:r w:rsidRPr="006776D5">
        <w:rPr>
          <w:rFonts w:ascii="Times" w:hAnsi="Times"/>
          <w:i/>
          <w:iCs/>
          <w:sz w:val="20"/>
          <w:lang w:val="en-US"/>
        </w:rPr>
        <w:t xml:space="preserve">     </w:t>
      </w:r>
      <m:oMath>
        <m:d>
          <m:dPr>
            <m:begChr m:val="{"/>
            <m:endChr m:val=""/>
            <m:ctrlPr>
              <w:rPr>
                <w:rFonts w:ascii="Cambria Math" w:hAnsi="Cambria Math"/>
                <w:i/>
                <w:iCs/>
                <w:sz w:val="20"/>
                <w:lang w:val="ru-RU"/>
              </w:rPr>
            </m:ctrlPr>
          </m:dPr>
          <m:e>
            <m:eqArr>
              <m:eqArrPr>
                <m:ctrlPr>
                  <w:rPr>
                    <w:rFonts w:ascii="Cambria Math" w:hAnsi="Cambria Math"/>
                    <w:i/>
                    <w:iCs/>
                    <w:sz w:val="20"/>
                    <w:lang w:val="ru-RU"/>
                  </w:rPr>
                </m:ctrlPr>
              </m:eqArrPr>
              <m:e>
                <m:sSub>
                  <m:sSubPr>
                    <m:ctrlPr>
                      <w:rPr>
                        <w:rFonts w:ascii="Cambria Math" w:hAnsi="Cambria Math"/>
                        <w:i/>
                        <w:iCs/>
                        <w:sz w:val="20"/>
                        <w:lang w:val="ru-RU"/>
                      </w:rPr>
                    </m:ctrlPr>
                  </m:sSubPr>
                  <m:e>
                    <m:r>
                      <w:rPr>
                        <w:rFonts w:ascii="Cambria Math" w:hAnsi="Cambria Math"/>
                        <w:sz w:val="20"/>
                        <w:lang w:val="en-US"/>
                      </w:rPr>
                      <m:t>P</m:t>
                    </m:r>
                  </m:e>
                  <m:sub>
                    <m:r>
                      <w:rPr>
                        <w:rFonts w:ascii="Cambria Math" w:hAnsi="Cambria Math"/>
                        <w:sz w:val="20"/>
                        <w:lang w:val="ru-RU"/>
                      </w:rPr>
                      <m:t>i</m:t>
                    </m:r>
                  </m:sub>
                </m:sSub>
                <m:r>
                  <w:rPr>
                    <w:rFonts w:ascii="Cambria Math" w:hAnsi="Cambria Math"/>
                    <w:sz w:val="20"/>
                    <w:lang w:val="en-US"/>
                  </w:rPr>
                  <m:t>≥</m:t>
                </m:r>
                <m:sSub>
                  <m:sSubPr>
                    <m:ctrlPr>
                      <w:rPr>
                        <w:rFonts w:ascii="Cambria Math" w:hAnsi="Cambria Math"/>
                        <w:i/>
                        <w:iCs/>
                        <w:sz w:val="20"/>
                        <w:lang w:val="ru-RU"/>
                      </w:rPr>
                    </m:ctrlPr>
                  </m:sSubPr>
                  <m:e>
                    <m:r>
                      <w:rPr>
                        <w:rFonts w:ascii="Cambria Math" w:hAnsi="Cambria Math"/>
                        <w:sz w:val="20"/>
                        <w:lang w:val="ru-RU"/>
                      </w:rPr>
                      <m:t>P</m:t>
                    </m:r>
                  </m:e>
                  <m:sub>
                    <m:r>
                      <w:rPr>
                        <w:rFonts w:ascii="Cambria Math" w:hAnsi="Cambria Math"/>
                        <w:sz w:val="20"/>
                        <w:lang w:val="en-US"/>
                      </w:rPr>
                      <m:t>norm</m:t>
                    </m:r>
                  </m:sub>
                </m:sSub>
                <m:r>
                  <w:rPr>
                    <w:rFonts w:ascii="Cambria Math" w:hAnsi="Cambria Math"/>
                    <w:sz w:val="20"/>
                    <w:lang w:val="en-US"/>
                  </w:rPr>
                  <m:t xml:space="preserve">,  </m:t>
                </m:r>
                <m:r>
                  <w:rPr>
                    <w:rFonts w:ascii="Cambria Math" w:hAnsi="Cambria Math"/>
                    <w:sz w:val="20"/>
                    <w:lang w:val="ru-RU"/>
                  </w:rPr>
                  <m:t>если</m:t>
                </m:r>
                <m:r>
                  <w:rPr>
                    <w:rFonts w:ascii="Cambria Math" w:hAnsi="Cambria Math"/>
                    <w:sz w:val="20"/>
                    <w:lang w:val="en-US"/>
                  </w:rPr>
                  <m:t xml:space="preserve"> </m:t>
                </m:r>
                <m:sSub>
                  <m:sSubPr>
                    <m:ctrlPr>
                      <w:rPr>
                        <w:rFonts w:ascii="Cambria Math" w:hAnsi="Cambria Math"/>
                        <w:i/>
                        <w:iCs/>
                        <w:sz w:val="20"/>
                        <w:lang w:val="ru-RU"/>
                      </w:rPr>
                    </m:ctrlPr>
                  </m:sSubPr>
                  <m:e>
                    <m:r>
                      <w:rPr>
                        <w:rFonts w:ascii="Cambria Math" w:hAnsi="Cambria Math"/>
                        <w:sz w:val="20"/>
                        <w:lang w:val="en-US"/>
                      </w:rPr>
                      <m:t>P</m:t>
                    </m:r>
                  </m:e>
                  <m:sub>
                    <m:r>
                      <w:rPr>
                        <w:rFonts w:ascii="Cambria Math" w:hAnsi="Cambria Math"/>
                        <w:sz w:val="20"/>
                        <w:lang w:val="en-US"/>
                      </w:rPr>
                      <m:t>init,  i</m:t>
                    </m:r>
                  </m:sub>
                </m:sSub>
                <m:r>
                  <w:rPr>
                    <w:rFonts w:ascii="Cambria Math" w:hAnsi="Cambria Math"/>
                    <w:sz w:val="20"/>
                    <w:lang w:val="en-US"/>
                  </w:rPr>
                  <m:t>≥</m:t>
                </m:r>
                <m:sSub>
                  <m:sSubPr>
                    <m:ctrlPr>
                      <w:rPr>
                        <w:rFonts w:ascii="Cambria Math" w:hAnsi="Cambria Math"/>
                        <w:i/>
                        <w:iCs/>
                        <w:sz w:val="20"/>
                        <w:lang w:val="ru-RU"/>
                      </w:rPr>
                    </m:ctrlPr>
                  </m:sSubPr>
                  <m:e>
                    <m:r>
                      <w:rPr>
                        <w:rFonts w:ascii="Cambria Math" w:hAnsi="Cambria Math"/>
                        <w:sz w:val="20"/>
                        <w:lang w:val="ru-RU"/>
                      </w:rPr>
                      <m:t>P</m:t>
                    </m:r>
                  </m:e>
                  <m:sub>
                    <m:r>
                      <w:rPr>
                        <w:rFonts w:ascii="Cambria Math" w:hAnsi="Cambria Math"/>
                        <w:sz w:val="20"/>
                        <w:lang w:val="ru-RU"/>
                      </w:rPr>
                      <m:t>norm</m:t>
                    </m:r>
                  </m:sub>
                </m:sSub>
              </m:e>
              <m:e>
                <m:sSub>
                  <m:sSubPr>
                    <m:ctrlPr>
                      <w:rPr>
                        <w:rFonts w:ascii="Cambria Math" w:hAnsi="Cambria Math"/>
                        <w:i/>
                        <w:iCs/>
                        <w:sz w:val="20"/>
                        <w:lang w:val="ru-RU"/>
                      </w:rPr>
                    </m:ctrlPr>
                  </m:sSubPr>
                  <m:e>
                    <m:r>
                      <w:rPr>
                        <w:rFonts w:ascii="Cambria Math" w:hAnsi="Cambria Math"/>
                        <w:sz w:val="20"/>
                        <w:lang w:val="ru-RU"/>
                      </w:rPr>
                      <m:t>P</m:t>
                    </m:r>
                  </m:e>
                  <m:sub>
                    <m:r>
                      <w:rPr>
                        <w:rFonts w:ascii="Cambria Math" w:hAnsi="Cambria Math"/>
                        <w:sz w:val="20"/>
                        <w:lang w:val="ru-RU"/>
                      </w:rPr>
                      <m:t>i</m:t>
                    </m:r>
                  </m:sub>
                </m:sSub>
                <m:r>
                  <w:rPr>
                    <w:rFonts w:ascii="Cambria Math" w:hAnsi="Cambria Math"/>
                    <w:sz w:val="20"/>
                    <w:lang w:val="en-US"/>
                  </w:rPr>
                  <m:t>≥</m:t>
                </m:r>
                <m:sSub>
                  <m:sSubPr>
                    <m:ctrlPr>
                      <w:rPr>
                        <w:rFonts w:ascii="Cambria Math" w:hAnsi="Cambria Math"/>
                        <w:i/>
                        <w:iCs/>
                        <w:sz w:val="20"/>
                        <w:lang w:val="ru-RU"/>
                      </w:rPr>
                    </m:ctrlPr>
                  </m:sSubPr>
                  <m:e>
                    <m:r>
                      <w:rPr>
                        <w:rFonts w:ascii="Cambria Math" w:hAnsi="Cambria Math"/>
                        <w:sz w:val="20"/>
                        <w:lang w:val="en-US"/>
                      </w:rPr>
                      <m:t>P</m:t>
                    </m:r>
                  </m:e>
                  <m:sub>
                    <m:r>
                      <w:rPr>
                        <w:rFonts w:ascii="Cambria Math" w:hAnsi="Cambria Math"/>
                        <w:sz w:val="20"/>
                        <w:lang w:val="en-US"/>
                      </w:rPr>
                      <m:t>init,  i</m:t>
                    </m:r>
                  </m:sub>
                </m:sSub>
                <m:r>
                  <w:rPr>
                    <w:rFonts w:ascii="Cambria Math" w:hAnsi="Cambria Math"/>
                    <w:sz w:val="20"/>
                    <w:lang w:val="en-US"/>
                  </w:rPr>
                  <m:t xml:space="preserve">,  </m:t>
                </m:r>
                <m:r>
                  <w:rPr>
                    <w:rFonts w:ascii="Cambria Math" w:hAnsi="Cambria Math"/>
                    <w:sz w:val="20"/>
                    <w:lang w:val="ru-RU"/>
                  </w:rPr>
                  <m:t>если</m:t>
                </m:r>
                <m:r>
                  <w:rPr>
                    <w:rFonts w:ascii="Cambria Math" w:hAnsi="Cambria Math"/>
                    <w:sz w:val="20"/>
                    <w:lang w:val="en-US"/>
                  </w:rPr>
                  <m:t xml:space="preserve"> </m:t>
                </m:r>
                <m:sSub>
                  <m:sSubPr>
                    <m:ctrlPr>
                      <w:rPr>
                        <w:rFonts w:ascii="Cambria Math" w:hAnsi="Cambria Math"/>
                        <w:i/>
                        <w:iCs/>
                        <w:sz w:val="20"/>
                        <w:lang w:val="ru-RU"/>
                      </w:rPr>
                    </m:ctrlPr>
                  </m:sSubPr>
                  <m:e>
                    <m:r>
                      <w:rPr>
                        <w:rFonts w:ascii="Cambria Math" w:hAnsi="Cambria Math"/>
                        <w:sz w:val="20"/>
                        <w:lang w:val="en-US"/>
                      </w:rPr>
                      <m:t>P</m:t>
                    </m:r>
                  </m:e>
                  <m:sub>
                    <m:r>
                      <w:rPr>
                        <w:rFonts w:ascii="Cambria Math" w:hAnsi="Cambria Math"/>
                        <w:sz w:val="20"/>
                        <w:lang w:val="ru-RU"/>
                      </w:rPr>
                      <m:t>init</m:t>
                    </m:r>
                    <m:r>
                      <w:rPr>
                        <w:rFonts w:ascii="Cambria Math" w:hAnsi="Cambria Math"/>
                        <w:sz w:val="20"/>
                        <w:lang w:val="en-US"/>
                      </w:rPr>
                      <m:t>,  i</m:t>
                    </m:r>
                  </m:sub>
                </m:sSub>
                <m:r>
                  <w:rPr>
                    <w:rFonts w:ascii="Cambria Math" w:hAnsi="Cambria Math"/>
                    <w:sz w:val="20"/>
                    <w:lang w:val="en-US"/>
                  </w:rPr>
                  <m:t>&lt;</m:t>
                </m:r>
                <m:sSub>
                  <m:sSubPr>
                    <m:ctrlPr>
                      <w:rPr>
                        <w:rFonts w:ascii="Cambria Math" w:hAnsi="Cambria Math"/>
                        <w:i/>
                        <w:iCs/>
                        <w:sz w:val="20"/>
                        <w:lang w:val="ru-RU"/>
                      </w:rPr>
                    </m:ctrlPr>
                  </m:sSubPr>
                  <m:e>
                    <m:r>
                      <w:rPr>
                        <w:rFonts w:ascii="Cambria Math" w:hAnsi="Cambria Math"/>
                        <w:sz w:val="20"/>
                        <w:lang w:val="ru-RU"/>
                      </w:rPr>
                      <m:t>P</m:t>
                    </m:r>
                  </m:e>
                  <m:sub>
                    <m:r>
                      <w:rPr>
                        <w:rFonts w:ascii="Cambria Math" w:hAnsi="Cambria Math"/>
                        <w:sz w:val="20"/>
                        <w:lang w:val="ru-RU"/>
                      </w:rPr>
                      <m:t>norm</m:t>
                    </m:r>
                  </m:sub>
                </m:sSub>
              </m:e>
            </m:eqArr>
          </m:e>
        </m:d>
        <m:r>
          <w:rPr>
            <w:rFonts w:ascii="Cambria Math" w:hAnsi="Cambria Math"/>
            <w:sz w:val="20"/>
            <w:lang w:val="en-US"/>
          </w:rPr>
          <m:t>,  i=1,…,I,</m:t>
        </m:r>
      </m:oMath>
      <w:r w:rsidRPr="004510DF">
        <w:rPr>
          <w:rFonts w:ascii="Times" w:hAnsi="Times"/>
          <w:sz w:val="20"/>
        </w:rPr>
        <w:tab/>
        <w:t xml:space="preserve"> (</w:t>
      </w:r>
      <w:r>
        <w:rPr>
          <w:rFonts w:ascii="Times" w:hAnsi="Times"/>
          <w:sz w:val="20"/>
        </w:rPr>
        <w:t>2</w:t>
      </w:r>
      <w:r w:rsidRPr="004510DF">
        <w:rPr>
          <w:rFonts w:ascii="Times" w:hAnsi="Times"/>
          <w:sz w:val="20"/>
        </w:rPr>
        <w:t>)</w:t>
      </w:r>
    </w:p>
    <w:p w:rsidR="00753445" w:rsidRDefault="00B87426" w:rsidP="00B87426">
      <w:pPr>
        <w:jc w:val="both"/>
        <w:rPr>
          <w:rFonts w:ascii="Times" w:hAnsi="Times"/>
          <w:sz w:val="20"/>
          <w:lang w:val="en-US"/>
        </w:rPr>
      </w:pPr>
      <w:r w:rsidRPr="00B87426">
        <w:rPr>
          <w:rFonts w:ascii="Times" w:hAnsi="Times"/>
          <w:sz w:val="20"/>
          <w:lang w:val="en-US"/>
        </w:rPr>
        <w:t xml:space="preserve">where </w:t>
      </w:r>
      <m:oMath>
        <m:sSub>
          <m:sSubPr>
            <m:ctrlPr>
              <w:rPr>
                <w:rFonts w:ascii="Cambria Math" w:hAnsi="Cambria Math"/>
                <w:i/>
                <w:sz w:val="20"/>
                <w:lang w:val="en-US"/>
              </w:rPr>
            </m:ctrlPr>
          </m:sSubPr>
          <m:e>
            <m:r>
              <w:rPr>
                <w:rFonts w:ascii="Cambria Math" w:hAnsi="Cambria Math"/>
                <w:sz w:val="20"/>
                <w:lang w:val="en-US"/>
              </w:rPr>
              <m:t>P</m:t>
            </m:r>
          </m:e>
          <m:sub>
            <m:r>
              <w:rPr>
                <w:rFonts w:ascii="Cambria Math" w:hAnsi="Cambria Math"/>
                <w:sz w:val="20"/>
                <w:lang w:val="en-US"/>
              </w:rPr>
              <m:t>i</m:t>
            </m:r>
          </m:sub>
        </m:sSub>
      </m:oMath>
      <w:r w:rsidRPr="00B87426">
        <w:rPr>
          <w:rFonts w:ascii="Times" w:hAnsi="Times"/>
          <w:sz w:val="20"/>
          <w:lang w:val="en-US"/>
        </w:rPr>
        <w:t xml:space="preserve"> is the probability of deficit-free operation in the </w:t>
      </w:r>
      <m:oMath>
        <m:r>
          <w:rPr>
            <w:rFonts w:ascii="Cambria Math" w:hAnsi="Cambria Math"/>
            <w:sz w:val="20"/>
            <w:lang w:val="en-US"/>
          </w:rPr>
          <m:t>i</m:t>
        </m:r>
      </m:oMath>
      <w:r w:rsidRPr="00B87426">
        <w:rPr>
          <w:rFonts w:ascii="Times" w:hAnsi="Times"/>
          <w:sz w:val="20"/>
          <w:lang w:val="en-US"/>
        </w:rPr>
        <w:t xml:space="preserve"> reliability zone, </w:t>
      </w:r>
      <m:oMath>
        <m:r>
          <w:rPr>
            <w:rFonts w:ascii="Cambria Math" w:hAnsi="Cambria Math"/>
            <w:sz w:val="20"/>
            <w:lang w:val="ru-RU"/>
          </w:rPr>
          <m:t>I</m:t>
        </m:r>
      </m:oMath>
      <w:r w:rsidRPr="00B87426">
        <w:rPr>
          <w:rFonts w:ascii="Times" w:hAnsi="Times"/>
          <w:sz w:val="20"/>
          <w:lang w:val="en-US"/>
        </w:rPr>
        <w:t xml:space="preserve"> is the number of reliability zones in the EPS; </w:t>
      </w:r>
      <m:oMath>
        <m:sSub>
          <m:sSubPr>
            <m:ctrlPr>
              <w:rPr>
                <w:rFonts w:ascii="Cambria Math" w:hAnsi="Cambria Math"/>
                <w:i/>
                <w:sz w:val="20"/>
                <w:lang w:val="ru-RU"/>
              </w:rPr>
            </m:ctrlPr>
          </m:sSubPr>
          <m:e>
            <m:r>
              <w:rPr>
                <w:rFonts w:ascii="Cambria Math" w:hAnsi="Cambria Math"/>
                <w:sz w:val="20"/>
                <w:lang w:val="en-US"/>
              </w:rPr>
              <m:t>P</m:t>
            </m:r>
          </m:e>
          <m:sub>
            <m:r>
              <w:rPr>
                <w:rFonts w:ascii="Cambria Math" w:hAnsi="Cambria Math"/>
                <w:sz w:val="20"/>
                <w:lang w:val="ru-RU"/>
              </w:rPr>
              <m:t>norm</m:t>
            </m:r>
          </m:sub>
        </m:sSub>
      </m:oMath>
      <w:r w:rsidRPr="00B87426">
        <w:rPr>
          <w:rFonts w:ascii="Times" w:hAnsi="Times"/>
          <w:sz w:val="20"/>
          <w:lang w:val="en-US"/>
        </w:rPr>
        <w:t xml:space="preserve"> - standard level of probability of deficit-free operation in EPS; </w:t>
      </w:r>
      <m:oMath>
        <m:sSub>
          <m:sSubPr>
            <m:ctrlPr>
              <w:rPr>
                <w:rFonts w:ascii="Cambria Math" w:hAnsi="Cambria Math"/>
                <w:i/>
                <w:sz w:val="20"/>
                <w:lang w:val="ru-RU"/>
              </w:rPr>
            </m:ctrlPr>
          </m:sSubPr>
          <m:e>
            <m:r>
              <w:rPr>
                <w:rFonts w:ascii="Cambria Math" w:hAnsi="Cambria Math"/>
                <w:sz w:val="20"/>
                <w:lang w:val="en-US"/>
              </w:rPr>
              <m:t>P</m:t>
            </m:r>
          </m:e>
          <m:sub>
            <m:r>
              <w:rPr>
                <w:rFonts w:ascii="Cambria Math" w:hAnsi="Cambria Math"/>
                <w:sz w:val="20"/>
                <w:lang w:val="en-US"/>
              </w:rPr>
              <m:t>init,  i</m:t>
            </m:r>
          </m:sub>
        </m:sSub>
      </m:oMath>
      <w:r w:rsidRPr="00B87426">
        <w:rPr>
          <w:rFonts w:ascii="Times" w:hAnsi="Times"/>
          <w:sz w:val="20"/>
          <w:lang w:val="en-US"/>
        </w:rPr>
        <w:t xml:space="preserve"> - the probability of deficit-free work in the reliability zone </w:t>
      </w:r>
      <m:oMath>
        <m:r>
          <w:rPr>
            <w:rFonts w:ascii="Cambria Math" w:hAnsi="Cambria Math"/>
            <w:sz w:val="20"/>
            <w:lang w:val="en-US"/>
          </w:rPr>
          <m:t>i</m:t>
        </m:r>
      </m:oMath>
      <w:r w:rsidRPr="00B87426">
        <w:rPr>
          <w:rFonts w:ascii="Times" w:hAnsi="Times"/>
          <w:sz w:val="20"/>
          <w:lang w:val="en-US"/>
        </w:rPr>
        <w:t xml:space="preserve"> for the </w:t>
      </w:r>
      <w:r w:rsidR="000B6474">
        <w:rPr>
          <w:rFonts w:ascii="Times" w:hAnsi="Times"/>
          <w:sz w:val="20"/>
          <w:lang w:val="en-US"/>
        </w:rPr>
        <w:t>initial</w:t>
      </w:r>
      <w:r w:rsidRPr="00B87426">
        <w:rPr>
          <w:rFonts w:ascii="Times" w:hAnsi="Times"/>
          <w:sz w:val="20"/>
          <w:lang w:val="en-US"/>
        </w:rPr>
        <w:t xml:space="preserve"> </w:t>
      </w:r>
      <w:r w:rsidR="003744A9">
        <w:rPr>
          <w:rFonts w:ascii="Times" w:hAnsi="Times"/>
          <w:sz w:val="20"/>
          <w:lang w:val="en-US"/>
        </w:rPr>
        <w:t>version</w:t>
      </w:r>
      <w:r w:rsidRPr="00B87426">
        <w:rPr>
          <w:rFonts w:ascii="Times" w:hAnsi="Times"/>
          <w:sz w:val="20"/>
          <w:lang w:val="en-US"/>
        </w:rPr>
        <w:t>.</w:t>
      </w:r>
    </w:p>
    <w:p w:rsidR="002759FA" w:rsidRPr="00AD7368" w:rsidRDefault="00AD7368" w:rsidP="00F43F05">
      <w:pPr>
        <w:ind w:firstLine="284"/>
        <w:jc w:val="both"/>
        <w:rPr>
          <w:rFonts w:ascii="Times" w:hAnsi="Times"/>
          <w:sz w:val="20"/>
          <w:lang w:val="en-US"/>
        </w:rPr>
      </w:pPr>
      <w:r w:rsidRPr="00AD7368">
        <w:rPr>
          <w:rFonts w:ascii="Times" w:hAnsi="Times"/>
          <w:sz w:val="20"/>
          <w:lang w:val="en-US"/>
        </w:rPr>
        <w:t xml:space="preserve">The </w:t>
      </w:r>
      <m:oMath>
        <m:sSub>
          <m:sSubPr>
            <m:ctrlPr>
              <w:rPr>
                <w:rFonts w:ascii="Cambria Math" w:hAnsi="Cambria Math"/>
                <w:i/>
                <w:sz w:val="20"/>
                <w:lang w:val="ru-RU"/>
              </w:rPr>
            </m:ctrlPr>
          </m:sSubPr>
          <m:e>
            <m:r>
              <w:rPr>
                <w:rFonts w:ascii="Cambria Math" w:hAnsi="Cambria Math"/>
                <w:sz w:val="20"/>
                <w:lang w:val="en-US"/>
              </w:rPr>
              <m:t>P</m:t>
            </m:r>
          </m:e>
          <m:sub>
            <m:r>
              <w:rPr>
                <w:rFonts w:ascii="Cambria Math" w:hAnsi="Cambria Math"/>
                <w:sz w:val="20"/>
                <w:lang w:val="ru-RU"/>
              </w:rPr>
              <m:t>i</m:t>
            </m:r>
          </m:sub>
        </m:sSub>
      </m:oMath>
      <w:r w:rsidRPr="00AD7368">
        <w:rPr>
          <w:rFonts w:ascii="Times" w:hAnsi="Times"/>
          <w:sz w:val="20"/>
          <w:lang w:val="en-US"/>
        </w:rPr>
        <w:t xml:space="preserve"> values for </w:t>
      </w:r>
      <m:oMath>
        <m:r>
          <w:rPr>
            <w:rFonts w:ascii="Cambria Math" w:hAnsi="Cambria Math"/>
            <w:sz w:val="20"/>
            <w:lang w:val="en-US"/>
          </w:rPr>
          <m:t>i=1,…,</m:t>
        </m:r>
        <m:r>
          <w:rPr>
            <w:rFonts w:ascii="Cambria Math" w:hAnsi="Cambria Math"/>
            <w:sz w:val="20"/>
            <w:lang w:val="ru-RU"/>
          </w:rPr>
          <m:t>I</m:t>
        </m:r>
      </m:oMath>
      <w:r w:rsidRPr="00AD7368">
        <w:rPr>
          <w:rFonts w:ascii="Times" w:hAnsi="Times"/>
          <w:sz w:val="20"/>
          <w:lang w:val="en-US"/>
        </w:rPr>
        <w:t xml:space="preserve"> are calculated </w:t>
      </w:r>
      <w:r>
        <w:rPr>
          <w:rFonts w:ascii="Times" w:hAnsi="Times"/>
          <w:sz w:val="20"/>
          <w:lang w:val="en-US"/>
        </w:rPr>
        <w:t>by</w:t>
      </w:r>
      <w:r w:rsidRPr="00AD7368">
        <w:rPr>
          <w:rFonts w:ascii="Times" w:hAnsi="Times"/>
          <w:sz w:val="20"/>
          <w:lang w:val="en-US"/>
        </w:rPr>
        <w:t xml:space="preserve"> evaluating the balance reliability of EPS (</w:t>
      </w:r>
      <m:oMath>
        <m:sSub>
          <m:sSubPr>
            <m:ctrlPr>
              <w:rPr>
                <w:rFonts w:ascii="Cambria Math" w:hAnsi="Cambria Math"/>
                <w:i/>
                <w:sz w:val="20"/>
                <w:lang w:val="ru-RU"/>
              </w:rPr>
            </m:ctrlPr>
          </m:sSubPr>
          <m:e>
            <m:r>
              <w:rPr>
                <w:rFonts w:ascii="Cambria Math" w:hAnsi="Cambria Math"/>
                <w:sz w:val="20"/>
                <w:lang w:val="ru-RU"/>
              </w:rPr>
              <m:t>F</m:t>
            </m:r>
          </m:e>
          <m:sub>
            <m:r>
              <w:rPr>
                <w:rFonts w:ascii="Cambria Math" w:hAnsi="Cambria Math"/>
                <w:sz w:val="20"/>
                <w:lang w:val="en-US"/>
              </w:rPr>
              <m:t>i</m:t>
            </m:r>
          </m:sub>
        </m:sSub>
      </m:oMath>
      <w:r w:rsidRPr="00AD7368">
        <w:rPr>
          <w:rFonts w:ascii="Times" w:hAnsi="Times"/>
          <w:sz w:val="20"/>
          <w:lang w:val="en-US"/>
        </w:rPr>
        <w:t>) for the current composition of generating units.</w:t>
      </w:r>
    </w:p>
    <w:p w:rsidR="00AD7368" w:rsidRPr="004510DF" w:rsidRDefault="00AD7368" w:rsidP="00AD7368">
      <w:pPr>
        <w:tabs>
          <w:tab w:val="center" w:pos="4395"/>
          <w:tab w:val="right" w:pos="4536"/>
        </w:tabs>
        <w:spacing w:before="170" w:after="170"/>
        <w:rPr>
          <w:rFonts w:ascii="Times" w:hAnsi="Times"/>
          <w:sz w:val="20"/>
        </w:rPr>
      </w:pPr>
      <w:r w:rsidRPr="006776D5">
        <w:rPr>
          <w:rFonts w:ascii="Times" w:hAnsi="Times"/>
          <w:i/>
          <w:iCs/>
          <w:sz w:val="20"/>
          <w:lang w:val="en-US"/>
        </w:rPr>
        <w:t xml:space="preserve">                                </w:t>
      </w:r>
      <m:oMath>
        <m:sSub>
          <m:sSubPr>
            <m:ctrlPr>
              <w:rPr>
                <w:rFonts w:ascii="Cambria Math" w:hAnsi="Cambria Math"/>
                <w:i/>
                <w:iCs/>
                <w:sz w:val="20"/>
                <w:lang w:val="en-US"/>
              </w:rPr>
            </m:ctrlPr>
          </m:sSubPr>
          <m:e>
            <m:r>
              <w:rPr>
                <w:rFonts w:ascii="Cambria Math" w:hAnsi="Cambria Math"/>
                <w:sz w:val="20"/>
                <w:lang w:val="en-US"/>
              </w:rPr>
              <m:t>P</m:t>
            </m:r>
          </m:e>
          <m:sub>
            <m:r>
              <w:rPr>
                <w:rFonts w:ascii="Cambria Math" w:hAnsi="Cambria Math"/>
                <w:sz w:val="20"/>
                <w:lang w:val="en-US"/>
              </w:rPr>
              <m:t>i</m:t>
            </m:r>
          </m:sub>
        </m:sSub>
        <m:r>
          <w:rPr>
            <w:rFonts w:ascii="Cambria Math" w:hAnsi="Cambria Math"/>
            <w:sz w:val="20"/>
            <w:lang w:val="en-US"/>
          </w:rPr>
          <m:t>=</m:t>
        </m:r>
        <m:sSub>
          <m:sSubPr>
            <m:ctrlPr>
              <w:rPr>
                <w:rFonts w:ascii="Cambria Math" w:hAnsi="Cambria Math"/>
                <w:i/>
                <w:iCs/>
                <w:sz w:val="20"/>
                <w:lang w:val="en-US"/>
              </w:rPr>
            </m:ctrlPr>
          </m:sSubPr>
          <m:e>
            <m:r>
              <w:rPr>
                <w:rFonts w:ascii="Cambria Math" w:hAnsi="Cambria Math"/>
                <w:sz w:val="20"/>
                <w:lang w:val="en-US"/>
              </w:rPr>
              <m:t>F</m:t>
            </m:r>
          </m:e>
          <m:sub>
            <m:r>
              <w:rPr>
                <w:rFonts w:ascii="Cambria Math" w:hAnsi="Cambria Math"/>
                <w:sz w:val="20"/>
                <w:lang w:val="en-US"/>
              </w:rPr>
              <m:t>i</m:t>
            </m:r>
          </m:sub>
        </m:sSub>
        <m:r>
          <w:rPr>
            <w:rFonts w:ascii="Cambria Math" w:hAnsi="Cambria Math"/>
            <w:sz w:val="20"/>
            <w:lang w:val="en-US"/>
          </w:rPr>
          <m:t>(</m:t>
        </m:r>
        <m:r>
          <w:rPr>
            <w:rFonts w:ascii="Cambria Math" w:hAnsi="Cambria Math"/>
            <w:sz w:val="20"/>
            <w:lang w:val="ru-RU"/>
          </w:rPr>
          <m:t>ξ</m:t>
        </m:r>
        <m:r>
          <w:rPr>
            <w:rFonts w:ascii="Cambria Math" w:hAnsi="Cambria Math"/>
            <w:sz w:val="20"/>
            <w:lang w:val="en-US"/>
          </w:rPr>
          <m:t xml:space="preserve">), </m:t>
        </m:r>
        <m:r>
          <w:rPr>
            <w:rFonts w:ascii="Cambria Math" w:hAnsi="Cambria Math"/>
            <w:sz w:val="20"/>
            <w:lang w:val="ru-RU"/>
          </w:rPr>
          <m:t>i</m:t>
        </m:r>
        <m:r>
          <w:rPr>
            <w:rFonts w:ascii="Cambria Math" w:hAnsi="Cambria Math"/>
            <w:sz w:val="20"/>
            <w:lang w:val="en-US"/>
          </w:rPr>
          <m:t>=1,…,</m:t>
        </m:r>
        <m:r>
          <w:rPr>
            <w:rFonts w:ascii="Cambria Math" w:hAnsi="Cambria Math"/>
            <w:sz w:val="20"/>
            <w:lang w:val="ru-RU"/>
          </w:rPr>
          <m:t>I</m:t>
        </m:r>
        <m:r>
          <w:rPr>
            <w:rFonts w:ascii="Cambria Math" w:hAnsi="Cambria Math"/>
            <w:sz w:val="20"/>
            <w:lang w:val="en-US"/>
          </w:rPr>
          <m:t>.</m:t>
        </m:r>
      </m:oMath>
      <w:r w:rsidRPr="004510DF">
        <w:rPr>
          <w:rFonts w:ascii="Times" w:hAnsi="Times"/>
          <w:sz w:val="20"/>
        </w:rPr>
        <w:tab/>
        <w:t xml:space="preserve"> (</w:t>
      </w:r>
      <w:r>
        <w:rPr>
          <w:rFonts w:ascii="Times" w:hAnsi="Times"/>
          <w:sz w:val="20"/>
        </w:rPr>
        <w:t>3</w:t>
      </w:r>
      <w:r w:rsidRPr="004510DF">
        <w:rPr>
          <w:rFonts w:ascii="Times" w:hAnsi="Times"/>
          <w:sz w:val="20"/>
        </w:rPr>
        <w:t>)</w:t>
      </w:r>
    </w:p>
    <w:p w:rsidR="00AD7368" w:rsidRPr="00CA1091" w:rsidRDefault="00AD7368" w:rsidP="00AD7368">
      <w:pPr>
        <w:spacing w:before="340" w:after="170"/>
        <w:jc w:val="both"/>
        <w:rPr>
          <w:rFonts w:ascii="Arial" w:hAnsi="Arial" w:cs="Arial"/>
          <w:b/>
          <w:caps/>
          <w:szCs w:val="24"/>
          <w:lang w:val="en-GB"/>
        </w:rPr>
      </w:pPr>
      <w:r w:rsidRPr="00AD7368">
        <w:rPr>
          <w:rFonts w:ascii="Arial" w:hAnsi="Arial" w:cs="Arial"/>
          <w:b/>
          <w:szCs w:val="24"/>
          <w:lang w:val="en-US"/>
        </w:rPr>
        <w:t>Experimental investigation</w:t>
      </w:r>
      <w:r w:rsidRPr="00CA1091">
        <w:rPr>
          <w:rFonts w:ascii="Arial" w:hAnsi="Arial" w:cs="Arial"/>
          <w:b/>
          <w:caps/>
          <w:szCs w:val="24"/>
          <w:lang w:val="en-GB"/>
        </w:rPr>
        <w:t xml:space="preserve"> </w:t>
      </w:r>
    </w:p>
    <w:p w:rsidR="00AD7368" w:rsidRDefault="00097C72" w:rsidP="00F43F05">
      <w:pPr>
        <w:ind w:firstLine="284"/>
        <w:jc w:val="both"/>
        <w:rPr>
          <w:rFonts w:ascii="Times" w:hAnsi="Times"/>
          <w:sz w:val="20"/>
          <w:lang w:val="en-US"/>
        </w:rPr>
      </w:pPr>
      <w:r w:rsidRPr="00097C72">
        <w:rPr>
          <w:rFonts w:ascii="Times" w:hAnsi="Times"/>
          <w:sz w:val="20"/>
          <w:lang w:val="en-US"/>
        </w:rPr>
        <w:t>When preparing the initial data for the research, a significant amount of statistical data on the operation of the equipment of the U</w:t>
      </w:r>
      <w:r w:rsidR="000E17D0">
        <w:rPr>
          <w:rFonts w:ascii="Times" w:hAnsi="Times"/>
          <w:sz w:val="20"/>
          <w:lang w:val="en-US"/>
        </w:rPr>
        <w:t>P</w:t>
      </w:r>
      <w:r w:rsidRPr="00097C72">
        <w:rPr>
          <w:rFonts w:ascii="Times" w:hAnsi="Times"/>
          <w:sz w:val="20"/>
          <w:lang w:val="en-US"/>
        </w:rPr>
        <w:t>S of Russia was processed. The study was carried out for the development plans of the U</w:t>
      </w:r>
      <w:r w:rsidR="000E17D0">
        <w:rPr>
          <w:rFonts w:ascii="Times" w:hAnsi="Times"/>
          <w:sz w:val="20"/>
          <w:lang w:val="en-US"/>
        </w:rPr>
        <w:t>P</w:t>
      </w:r>
      <w:r w:rsidRPr="00097C72">
        <w:rPr>
          <w:rFonts w:ascii="Times" w:hAnsi="Times"/>
          <w:sz w:val="20"/>
          <w:lang w:val="en-US"/>
        </w:rPr>
        <w:t>S of Russia for 2022 [14]. When clustering the U</w:t>
      </w:r>
      <w:r w:rsidR="000E17D0">
        <w:rPr>
          <w:rFonts w:ascii="Times" w:hAnsi="Times"/>
          <w:sz w:val="20"/>
          <w:lang w:val="en-US"/>
        </w:rPr>
        <w:t>P</w:t>
      </w:r>
      <w:r w:rsidRPr="00097C72">
        <w:rPr>
          <w:rFonts w:ascii="Times" w:hAnsi="Times"/>
          <w:sz w:val="20"/>
          <w:lang w:val="en-US"/>
        </w:rPr>
        <w:t>S of Russia, 106 safety zones were identified. The variant of development of the U</w:t>
      </w:r>
      <w:r w:rsidR="000E17D0">
        <w:rPr>
          <w:rFonts w:ascii="Times" w:hAnsi="Times"/>
          <w:sz w:val="20"/>
          <w:lang w:val="en-US"/>
        </w:rPr>
        <w:t>P</w:t>
      </w:r>
      <w:r w:rsidRPr="00097C72">
        <w:rPr>
          <w:rFonts w:ascii="Times" w:hAnsi="Times"/>
          <w:sz w:val="20"/>
          <w:lang w:val="en-US"/>
        </w:rPr>
        <w:t xml:space="preserve">S of Russia, presented in [14], was characterized by the </w:t>
      </w:r>
      <w:r w:rsidRPr="00810B97">
        <w:rPr>
          <w:rFonts w:ascii="Times" w:hAnsi="Times"/>
          <w:sz w:val="20"/>
          <w:lang w:val="en-US"/>
        </w:rPr>
        <w:t xml:space="preserve">data of the </w:t>
      </w:r>
      <w:r w:rsidR="005010B3" w:rsidRPr="00810B97">
        <w:rPr>
          <w:rFonts w:ascii="Times" w:hAnsi="Times"/>
          <w:sz w:val="20"/>
          <w:lang w:val="en-US"/>
        </w:rPr>
        <w:t>energy</w:t>
      </w:r>
      <w:r w:rsidRPr="00810B97">
        <w:rPr>
          <w:rFonts w:ascii="Times" w:hAnsi="Times"/>
          <w:sz w:val="20"/>
          <w:lang w:val="en-US"/>
        </w:rPr>
        <w:t xml:space="preserve"> balance per hour of the </w:t>
      </w:r>
      <w:r w:rsidR="005010B3" w:rsidRPr="00810B97">
        <w:rPr>
          <w:rFonts w:ascii="Times" w:hAnsi="Times"/>
          <w:sz w:val="20"/>
          <w:lang w:val="en-US"/>
        </w:rPr>
        <w:t>coincident</w:t>
      </w:r>
      <w:r w:rsidRPr="00810B97">
        <w:rPr>
          <w:rFonts w:ascii="Times" w:hAnsi="Times"/>
          <w:sz w:val="20"/>
          <w:lang w:val="en-US"/>
        </w:rPr>
        <w:t xml:space="preserve"> maximum power </w:t>
      </w:r>
      <w:r w:rsidR="005010B3" w:rsidRPr="00810B97">
        <w:rPr>
          <w:rFonts w:ascii="Times" w:hAnsi="Times"/>
          <w:sz w:val="20"/>
          <w:lang w:val="en-US"/>
        </w:rPr>
        <w:t>demand</w:t>
      </w:r>
      <w:r w:rsidRPr="00810B97">
        <w:rPr>
          <w:rFonts w:ascii="Times" w:hAnsi="Times"/>
          <w:sz w:val="20"/>
          <w:lang w:val="en-US"/>
        </w:rPr>
        <w:t>,</w:t>
      </w:r>
      <w:r w:rsidRPr="00097C72">
        <w:rPr>
          <w:rFonts w:ascii="Times" w:hAnsi="Times"/>
          <w:sz w:val="20"/>
          <w:lang w:val="en-US"/>
        </w:rPr>
        <w:t xml:space="preserve"> presented in Table 1. Table 2 presents the data on the </w:t>
      </w:r>
      <w:r w:rsidR="007F3FAF">
        <w:rPr>
          <w:rFonts w:ascii="Times" w:hAnsi="Times"/>
          <w:sz w:val="20"/>
          <w:lang w:val="en-US"/>
        </w:rPr>
        <w:t>energy</w:t>
      </w:r>
      <w:r w:rsidRPr="00097C72">
        <w:rPr>
          <w:rFonts w:ascii="Times" w:hAnsi="Times"/>
          <w:sz w:val="20"/>
          <w:lang w:val="en-US"/>
        </w:rPr>
        <w:t xml:space="preserve"> balance for parts of the U</w:t>
      </w:r>
      <w:r w:rsidR="000E17D0">
        <w:rPr>
          <w:rFonts w:ascii="Times" w:hAnsi="Times"/>
          <w:sz w:val="20"/>
          <w:lang w:val="en-US"/>
        </w:rPr>
        <w:t>P</w:t>
      </w:r>
      <w:r w:rsidRPr="00097C72">
        <w:rPr>
          <w:rFonts w:ascii="Times" w:hAnsi="Times"/>
          <w:sz w:val="20"/>
          <w:lang w:val="en-US"/>
        </w:rPr>
        <w:t xml:space="preserve">S of Russia within the boundaries of </w:t>
      </w:r>
      <w:r w:rsidR="0055389E">
        <w:rPr>
          <w:rFonts w:ascii="Times" w:hAnsi="Times"/>
          <w:sz w:val="20"/>
          <w:lang w:val="en-US"/>
        </w:rPr>
        <w:t>interconnected power systems (IP</w:t>
      </w:r>
      <w:r w:rsidRPr="00097C72">
        <w:rPr>
          <w:rFonts w:ascii="Times" w:hAnsi="Times"/>
          <w:sz w:val="20"/>
          <w:lang w:val="en-US"/>
        </w:rPr>
        <w:t>S</w:t>
      </w:r>
      <w:r w:rsidR="0055389E">
        <w:rPr>
          <w:rFonts w:ascii="Times" w:hAnsi="Times"/>
          <w:sz w:val="20"/>
          <w:lang w:val="en-US"/>
        </w:rPr>
        <w:t>)</w:t>
      </w:r>
      <w:r w:rsidRPr="00097C72">
        <w:rPr>
          <w:rFonts w:ascii="Times" w:hAnsi="Times"/>
          <w:sz w:val="20"/>
          <w:lang w:val="en-US"/>
        </w:rPr>
        <w:t>. When clustering the U</w:t>
      </w:r>
      <w:r w:rsidR="000E17D0">
        <w:rPr>
          <w:rFonts w:ascii="Times" w:hAnsi="Times"/>
          <w:sz w:val="20"/>
          <w:lang w:val="en-US"/>
        </w:rPr>
        <w:t>P</w:t>
      </w:r>
      <w:r w:rsidRPr="00097C72">
        <w:rPr>
          <w:rFonts w:ascii="Times" w:hAnsi="Times"/>
          <w:sz w:val="20"/>
          <w:lang w:val="en-US"/>
        </w:rPr>
        <w:t xml:space="preserve">S of Russia into </w:t>
      </w:r>
      <w:r w:rsidR="0055389E">
        <w:rPr>
          <w:rFonts w:ascii="Times" w:hAnsi="Times"/>
          <w:sz w:val="20"/>
          <w:lang w:val="en-US"/>
        </w:rPr>
        <w:t>reliability</w:t>
      </w:r>
      <w:r w:rsidRPr="00097C72">
        <w:rPr>
          <w:rFonts w:ascii="Times" w:hAnsi="Times"/>
          <w:sz w:val="20"/>
          <w:lang w:val="en-US"/>
        </w:rPr>
        <w:t xml:space="preserve"> zones, the Smolensk energy system was assigned to the 13</w:t>
      </w:r>
      <w:r w:rsidR="00060B27">
        <w:rPr>
          <w:rFonts w:ascii="Times" w:hAnsi="Times"/>
          <w:sz w:val="20"/>
          <w:lang w:val="en-US"/>
        </w:rPr>
        <w:t>NW</w:t>
      </w:r>
      <w:r w:rsidRPr="00097C72">
        <w:rPr>
          <w:rFonts w:ascii="Times" w:hAnsi="Times"/>
          <w:sz w:val="20"/>
          <w:lang w:val="en-US"/>
        </w:rPr>
        <w:t xml:space="preserve"> reliability zone. This zone is </w:t>
      </w:r>
      <w:r w:rsidR="0055389E">
        <w:rPr>
          <w:rFonts w:ascii="Times" w:hAnsi="Times"/>
          <w:sz w:val="20"/>
          <w:lang w:val="en-US"/>
        </w:rPr>
        <w:t>part of</w:t>
      </w:r>
      <w:r w:rsidRPr="00097C72">
        <w:rPr>
          <w:rFonts w:ascii="Times" w:hAnsi="Times"/>
          <w:sz w:val="20"/>
          <w:lang w:val="en-US"/>
        </w:rPr>
        <w:t xml:space="preserve"> the</w:t>
      </w:r>
      <w:r w:rsidR="0055389E">
        <w:rPr>
          <w:rFonts w:ascii="Times" w:hAnsi="Times"/>
          <w:sz w:val="20"/>
          <w:lang w:val="en-US"/>
        </w:rPr>
        <w:t xml:space="preserve"> Nord-West</w:t>
      </w:r>
      <w:r w:rsidRPr="00097C72">
        <w:rPr>
          <w:rFonts w:ascii="Times" w:hAnsi="Times"/>
          <w:sz w:val="20"/>
          <w:lang w:val="en-US"/>
        </w:rPr>
        <w:t xml:space="preserve"> I</w:t>
      </w:r>
      <w:r w:rsidR="000E17D0">
        <w:rPr>
          <w:rFonts w:ascii="Times" w:hAnsi="Times"/>
          <w:sz w:val="20"/>
          <w:lang w:val="en-US"/>
        </w:rPr>
        <w:t>P</w:t>
      </w:r>
      <w:r w:rsidRPr="00097C72">
        <w:rPr>
          <w:rFonts w:ascii="Times" w:hAnsi="Times"/>
          <w:sz w:val="20"/>
          <w:lang w:val="en-US"/>
        </w:rPr>
        <w:t xml:space="preserve">S, although the Smolensk energy system is in fact part of the </w:t>
      </w:r>
      <w:r w:rsidR="0055389E">
        <w:rPr>
          <w:rFonts w:ascii="Times" w:hAnsi="Times"/>
          <w:sz w:val="20"/>
          <w:lang w:val="en-US"/>
        </w:rPr>
        <w:t xml:space="preserve">Central </w:t>
      </w:r>
      <w:r w:rsidRPr="00097C72">
        <w:rPr>
          <w:rFonts w:ascii="Times" w:hAnsi="Times"/>
          <w:sz w:val="20"/>
          <w:lang w:val="en-US"/>
        </w:rPr>
        <w:t>IES. In the results, all the parameters characterizing the Smolensk energy system</w:t>
      </w:r>
      <w:r w:rsidR="0055389E">
        <w:rPr>
          <w:rFonts w:ascii="Times" w:hAnsi="Times"/>
          <w:sz w:val="20"/>
          <w:lang w:val="en-US"/>
        </w:rPr>
        <w:t xml:space="preserve"> </w:t>
      </w:r>
      <w:r w:rsidR="0055389E" w:rsidRPr="00097C72">
        <w:rPr>
          <w:rFonts w:ascii="Times" w:hAnsi="Times"/>
          <w:sz w:val="20"/>
          <w:lang w:val="en-US"/>
        </w:rPr>
        <w:t xml:space="preserve">are presented in the initial data of the </w:t>
      </w:r>
      <w:r w:rsidR="000E17D0">
        <w:rPr>
          <w:rFonts w:ascii="Times" w:hAnsi="Times"/>
          <w:sz w:val="20"/>
          <w:lang w:val="en-US"/>
        </w:rPr>
        <w:t>IP</w:t>
      </w:r>
      <w:r w:rsidR="0055389E" w:rsidRPr="00097C72">
        <w:rPr>
          <w:rFonts w:ascii="Times" w:hAnsi="Times"/>
          <w:sz w:val="20"/>
          <w:lang w:val="en-US"/>
        </w:rPr>
        <w:t>S of the North-West</w:t>
      </w:r>
      <w:r w:rsidRPr="00097C72">
        <w:rPr>
          <w:rFonts w:ascii="Times" w:hAnsi="Times"/>
          <w:sz w:val="20"/>
          <w:lang w:val="en-US"/>
        </w:rPr>
        <w:t>, namely its own maximum power consumption, which in 2022 is equal to 1086 MW, other characteristics of power consumption, generating units with their characteristics, the capacity of which is 3995 MW</w:t>
      </w:r>
      <w:r w:rsidR="0055389E">
        <w:rPr>
          <w:rFonts w:ascii="Times" w:hAnsi="Times"/>
          <w:sz w:val="20"/>
          <w:lang w:val="en-US"/>
        </w:rPr>
        <w:t>.</w:t>
      </w:r>
    </w:p>
    <w:p w:rsidR="000B6474" w:rsidRPr="00CA1091" w:rsidRDefault="000B6474" w:rsidP="000B6474">
      <w:pPr>
        <w:spacing w:before="170" w:after="170"/>
        <w:jc w:val="center"/>
        <w:rPr>
          <w:rFonts w:ascii="Times" w:hAnsi="Times"/>
          <w:iCs/>
          <w:sz w:val="18"/>
          <w:szCs w:val="16"/>
          <w:lang w:val="en-GB"/>
        </w:rPr>
      </w:pPr>
      <w:r w:rsidRPr="00CA1091">
        <w:rPr>
          <w:rFonts w:ascii="Times" w:hAnsi="Times"/>
          <w:b/>
          <w:bCs/>
          <w:iCs/>
          <w:sz w:val="18"/>
          <w:szCs w:val="16"/>
          <w:lang w:val="en-GB"/>
        </w:rPr>
        <w:t>Table 1.</w:t>
      </w:r>
      <w:r w:rsidRPr="00CA1091">
        <w:rPr>
          <w:rFonts w:ascii="Times" w:hAnsi="Times"/>
          <w:iCs/>
          <w:sz w:val="18"/>
          <w:szCs w:val="16"/>
          <w:lang w:val="en-GB"/>
        </w:rPr>
        <w:t xml:space="preserve"> </w:t>
      </w:r>
      <w:r w:rsidRPr="000B6474">
        <w:rPr>
          <w:rFonts w:ascii="Times" w:hAnsi="Times"/>
          <w:iCs/>
          <w:sz w:val="18"/>
          <w:szCs w:val="16"/>
          <w:lang w:val="en-GB"/>
        </w:rPr>
        <w:t>Power balance in the U</w:t>
      </w:r>
      <w:r w:rsidR="000E17D0">
        <w:rPr>
          <w:rFonts w:ascii="Times" w:hAnsi="Times"/>
          <w:iCs/>
          <w:sz w:val="18"/>
          <w:szCs w:val="16"/>
          <w:lang w:val="en-GB"/>
        </w:rPr>
        <w:t>P</w:t>
      </w:r>
      <w:r w:rsidRPr="000B6474">
        <w:rPr>
          <w:rFonts w:ascii="Times" w:hAnsi="Times"/>
          <w:iCs/>
          <w:sz w:val="18"/>
          <w:szCs w:val="16"/>
          <w:lang w:val="en-GB"/>
        </w:rPr>
        <w:t>S of Russia at the level of 2022 (initial version)</w:t>
      </w:r>
    </w:p>
    <w:tbl>
      <w:tblPr>
        <w:tblW w:w="0" w:type="auto"/>
        <w:jc w:val="center"/>
        <w:tblLayout w:type="fixed"/>
        <w:tblLook w:val="0000" w:firstRow="0" w:lastRow="0" w:firstColumn="0" w:lastColumn="0" w:noHBand="0" w:noVBand="0"/>
      </w:tblPr>
      <w:tblGrid>
        <w:gridCol w:w="2873"/>
        <w:gridCol w:w="1279"/>
      </w:tblGrid>
      <w:tr w:rsidR="000B6474" w:rsidRPr="00CA1091" w:rsidTr="00BC1650">
        <w:trPr>
          <w:trHeight w:val="567"/>
          <w:jc w:val="center"/>
        </w:trPr>
        <w:tc>
          <w:tcPr>
            <w:tcW w:w="2873" w:type="dxa"/>
            <w:tcBorders>
              <w:top w:val="single" w:sz="4" w:space="0" w:color="000000"/>
              <w:left w:val="single" w:sz="4" w:space="0" w:color="000000"/>
              <w:bottom w:val="single" w:sz="4" w:space="0" w:color="000000"/>
            </w:tcBorders>
            <w:vAlign w:val="center"/>
          </w:tcPr>
          <w:p w:rsidR="000B6474" w:rsidRPr="000471D9" w:rsidRDefault="000471D9" w:rsidP="00B01B51">
            <w:pPr>
              <w:snapToGrid w:val="0"/>
              <w:jc w:val="center"/>
              <w:rPr>
                <w:rFonts w:ascii="Times" w:hAnsi="Times"/>
                <w:sz w:val="18"/>
                <w:szCs w:val="18"/>
                <w:lang w:val="en-US"/>
              </w:rPr>
            </w:pPr>
            <w:r w:rsidRPr="000471D9">
              <w:rPr>
                <w:rFonts w:ascii="Times" w:hAnsi="Times"/>
                <w:sz w:val="18"/>
                <w:szCs w:val="18"/>
                <w:lang w:val="en-GB"/>
              </w:rPr>
              <w:t>Installed capacity</w:t>
            </w:r>
            <w:r>
              <w:rPr>
                <w:rFonts w:ascii="Times" w:hAnsi="Times"/>
                <w:sz w:val="18"/>
                <w:szCs w:val="18"/>
                <w:lang w:val="ru-RU"/>
              </w:rPr>
              <w:t xml:space="preserve">, </w:t>
            </w:r>
            <w:r>
              <w:rPr>
                <w:rFonts w:ascii="Times" w:hAnsi="Times"/>
                <w:sz w:val="18"/>
                <w:szCs w:val="18"/>
                <w:lang w:val="en-US"/>
              </w:rPr>
              <w:t>MW</w:t>
            </w:r>
          </w:p>
        </w:tc>
        <w:tc>
          <w:tcPr>
            <w:tcW w:w="1279" w:type="dxa"/>
            <w:tcBorders>
              <w:top w:val="single" w:sz="4" w:space="0" w:color="000000"/>
              <w:left w:val="single" w:sz="4" w:space="0" w:color="000000"/>
              <w:bottom w:val="single" w:sz="4" w:space="0" w:color="000000"/>
              <w:right w:val="single" w:sz="4" w:space="0" w:color="000000"/>
            </w:tcBorders>
            <w:vAlign w:val="center"/>
          </w:tcPr>
          <w:p w:rsidR="000B6474" w:rsidRPr="00CA1091" w:rsidRDefault="000471D9" w:rsidP="00B01B51">
            <w:pPr>
              <w:snapToGrid w:val="0"/>
              <w:jc w:val="center"/>
              <w:rPr>
                <w:rFonts w:ascii="Times" w:hAnsi="Times"/>
                <w:sz w:val="18"/>
                <w:szCs w:val="18"/>
                <w:lang w:val="en-GB"/>
              </w:rPr>
            </w:pPr>
            <w:r>
              <w:rPr>
                <w:rFonts w:ascii="Times" w:hAnsi="Times"/>
                <w:sz w:val="18"/>
                <w:szCs w:val="18"/>
                <w:lang w:val="en-GB"/>
              </w:rPr>
              <w:t>236442</w:t>
            </w:r>
          </w:p>
        </w:tc>
      </w:tr>
      <w:tr w:rsidR="000B6474" w:rsidRPr="00CA1091" w:rsidTr="00BC1650">
        <w:trPr>
          <w:trHeight w:val="567"/>
          <w:jc w:val="center"/>
        </w:trPr>
        <w:tc>
          <w:tcPr>
            <w:tcW w:w="2873" w:type="dxa"/>
            <w:tcBorders>
              <w:top w:val="single" w:sz="4" w:space="0" w:color="000000"/>
              <w:left w:val="single" w:sz="4" w:space="0" w:color="000000"/>
              <w:bottom w:val="single" w:sz="4" w:space="0" w:color="000000"/>
            </w:tcBorders>
            <w:vAlign w:val="center"/>
          </w:tcPr>
          <w:p w:rsidR="000B6474" w:rsidRPr="00CA1091" w:rsidRDefault="000471D9" w:rsidP="00B01B51">
            <w:pPr>
              <w:snapToGrid w:val="0"/>
              <w:jc w:val="center"/>
              <w:rPr>
                <w:rFonts w:ascii="Times" w:hAnsi="Times"/>
                <w:sz w:val="18"/>
                <w:szCs w:val="18"/>
                <w:lang w:val="en-GB"/>
              </w:rPr>
            </w:pPr>
            <w:r w:rsidRPr="000471D9">
              <w:rPr>
                <w:rFonts w:ascii="Times" w:hAnsi="Times"/>
                <w:sz w:val="18"/>
                <w:szCs w:val="18"/>
                <w:lang w:val="en-GB"/>
              </w:rPr>
              <w:t>Installed capacity limitations</w:t>
            </w:r>
            <w:r>
              <w:rPr>
                <w:rFonts w:ascii="Times" w:hAnsi="Times"/>
                <w:sz w:val="18"/>
                <w:szCs w:val="18"/>
                <w:lang w:val="ru-RU"/>
              </w:rPr>
              <w:t xml:space="preserve">, </w:t>
            </w:r>
            <w:r>
              <w:rPr>
                <w:rFonts w:ascii="Times" w:hAnsi="Times"/>
                <w:sz w:val="18"/>
                <w:szCs w:val="18"/>
                <w:lang w:val="en-US"/>
              </w:rPr>
              <w:t>MW</w:t>
            </w:r>
          </w:p>
        </w:tc>
        <w:tc>
          <w:tcPr>
            <w:tcW w:w="1279" w:type="dxa"/>
            <w:tcBorders>
              <w:top w:val="single" w:sz="4" w:space="0" w:color="000000"/>
              <w:left w:val="single" w:sz="4" w:space="0" w:color="000000"/>
              <w:bottom w:val="single" w:sz="4" w:space="0" w:color="000000"/>
              <w:right w:val="single" w:sz="4" w:space="0" w:color="000000"/>
            </w:tcBorders>
            <w:vAlign w:val="center"/>
          </w:tcPr>
          <w:p w:rsidR="000B6474" w:rsidRPr="000471D9" w:rsidRDefault="000471D9" w:rsidP="00B01B51">
            <w:pPr>
              <w:snapToGrid w:val="0"/>
              <w:jc w:val="center"/>
              <w:rPr>
                <w:rFonts w:ascii="Times" w:hAnsi="Times"/>
                <w:sz w:val="18"/>
                <w:szCs w:val="18"/>
                <w:lang w:val="ru-RU"/>
              </w:rPr>
            </w:pPr>
            <w:r>
              <w:rPr>
                <w:rFonts w:ascii="Times" w:hAnsi="Times"/>
                <w:sz w:val="18"/>
                <w:szCs w:val="18"/>
                <w:lang w:val="ru-RU"/>
              </w:rPr>
              <w:t>18341</w:t>
            </w:r>
          </w:p>
        </w:tc>
      </w:tr>
      <w:tr w:rsidR="000B6474" w:rsidRPr="00CA1091" w:rsidTr="00BC1650">
        <w:trPr>
          <w:trHeight w:val="567"/>
          <w:jc w:val="center"/>
        </w:trPr>
        <w:tc>
          <w:tcPr>
            <w:tcW w:w="2873" w:type="dxa"/>
            <w:tcBorders>
              <w:top w:val="single" w:sz="4" w:space="0" w:color="000000"/>
              <w:left w:val="single" w:sz="4" w:space="0" w:color="000000"/>
              <w:bottom w:val="single" w:sz="4" w:space="0" w:color="000000"/>
            </w:tcBorders>
            <w:vAlign w:val="center"/>
          </w:tcPr>
          <w:p w:rsidR="000B6474" w:rsidRPr="00CA1091" w:rsidRDefault="000471D9" w:rsidP="00B01B51">
            <w:pPr>
              <w:snapToGrid w:val="0"/>
              <w:jc w:val="center"/>
              <w:rPr>
                <w:rFonts w:ascii="Times" w:hAnsi="Times"/>
                <w:sz w:val="18"/>
                <w:szCs w:val="18"/>
                <w:lang w:val="en-GB"/>
              </w:rPr>
            </w:pPr>
            <w:r>
              <w:rPr>
                <w:rFonts w:ascii="Times" w:hAnsi="Times"/>
                <w:sz w:val="18"/>
                <w:szCs w:val="18"/>
                <w:lang w:val="en-US"/>
              </w:rPr>
              <w:t>Available</w:t>
            </w:r>
            <w:r w:rsidRPr="000471D9">
              <w:rPr>
                <w:rFonts w:ascii="Times" w:hAnsi="Times"/>
                <w:sz w:val="18"/>
                <w:szCs w:val="18"/>
                <w:lang w:val="en-GB"/>
              </w:rPr>
              <w:t xml:space="preserve"> capacity</w:t>
            </w:r>
            <w:r w:rsidR="0007589F">
              <w:rPr>
                <w:rFonts w:ascii="Times" w:hAnsi="Times"/>
                <w:sz w:val="18"/>
                <w:szCs w:val="18"/>
                <w:lang w:val="en-GB"/>
              </w:rPr>
              <w:t xml:space="preserve"> </w:t>
            </w:r>
            <m:oMath>
              <m:sSub>
                <m:sSubPr>
                  <m:ctrlPr>
                    <w:rPr>
                      <w:rFonts w:ascii="Cambria Math" w:hAnsi="Cambria Math"/>
                      <w:i/>
                      <w:sz w:val="18"/>
                      <w:szCs w:val="18"/>
                      <w:lang w:val="ru-RU"/>
                    </w:rPr>
                  </m:ctrlPr>
                </m:sSubPr>
                <m:e>
                  <m:r>
                    <w:rPr>
                      <w:rFonts w:ascii="Cambria Math" w:hAnsi="Cambria Math"/>
                      <w:sz w:val="18"/>
                      <w:szCs w:val="18"/>
                      <w:lang w:val="en-US"/>
                    </w:rPr>
                    <m:t>x</m:t>
                  </m:r>
                </m:e>
                <m:sub>
                  <m:r>
                    <w:rPr>
                      <w:rFonts w:ascii="Cambria Math" w:hAnsi="Cambria Math"/>
                      <w:sz w:val="18"/>
                      <w:szCs w:val="18"/>
                      <w:lang w:val="en-US"/>
                    </w:rPr>
                    <m:t>UES</m:t>
                  </m:r>
                </m:sub>
              </m:sSub>
            </m:oMath>
            <w:r w:rsidRPr="0007589F">
              <w:rPr>
                <w:rFonts w:ascii="Times" w:hAnsi="Times"/>
                <w:sz w:val="18"/>
                <w:szCs w:val="18"/>
                <w:lang w:val="en-US"/>
              </w:rPr>
              <w:t xml:space="preserve">, </w:t>
            </w:r>
            <w:r>
              <w:rPr>
                <w:rFonts w:ascii="Times" w:hAnsi="Times"/>
                <w:sz w:val="18"/>
                <w:szCs w:val="18"/>
                <w:lang w:val="en-US"/>
              </w:rPr>
              <w:t>MW</w:t>
            </w:r>
          </w:p>
        </w:tc>
        <w:tc>
          <w:tcPr>
            <w:tcW w:w="1279" w:type="dxa"/>
            <w:tcBorders>
              <w:top w:val="single" w:sz="4" w:space="0" w:color="000000"/>
              <w:left w:val="single" w:sz="4" w:space="0" w:color="000000"/>
              <w:bottom w:val="single" w:sz="4" w:space="0" w:color="000000"/>
              <w:right w:val="single" w:sz="4" w:space="0" w:color="000000"/>
            </w:tcBorders>
            <w:vAlign w:val="center"/>
          </w:tcPr>
          <w:p w:rsidR="000B6474" w:rsidRPr="00CA1091" w:rsidRDefault="00BC1650" w:rsidP="00B01B51">
            <w:pPr>
              <w:snapToGrid w:val="0"/>
              <w:jc w:val="center"/>
              <w:rPr>
                <w:rFonts w:ascii="Times" w:hAnsi="Times"/>
                <w:sz w:val="18"/>
                <w:szCs w:val="18"/>
                <w:lang w:val="en-GB"/>
              </w:rPr>
            </w:pPr>
            <w:r>
              <w:rPr>
                <w:rFonts w:ascii="Times" w:hAnsi="Times"/>
                <w:sz w:val="18"/>
                <w:szCs w:val="18"/>
                <w:lang w:val="en-GB"/>
              </w:rPr>
              <w:t>218101</w:t>
            </w:r>
          </w:p>
        </w:tc>
      </w:tr>
      <w:tr w:rsidR="000B6474" w:rsidRPr="00CA1091" w:rsidTr="00BC1650">
        <w:trPr>
          <w:trHeight w:val="567"/>
          <w:jc w:val="center"/>
        </w:trPr>
        <w:tc>
          <w:tcPr>
            <w:tcW w:w="2873" w:type="dxa"/>
            <w:tcBorders>
              <w:top w:val="single" w:sz="4" w:space="0" w:color="000000"/>
              <w:left w:val="single" w:sz="4" w:space="0" w:color="000000"/>
              <w:bottom w:val="single" w:sz="4" w:space="0" w:color="000000"/>
            </w:tcBorders>
            <w:vAlign w:val="center"/>
          </w:tcPr>
          <w:p w:rsidR="000B6474" w:rsidRPr="00CA1091" w:rsidRDefault="00BC1650" w:rsidP="00B01B51">
            <w:pPr>
              <w:snapToGrid w:val="0"/>
              <w:jc w:val="center"/>
              <w:rPr>
                <w:rFonts w:ascii="Times" w:hAnsi="Times"/>
                <w:sz w:val="18"/>
                <w:szCs w:val="18"/>
                <w:lang w:val="en-GB"/>
              </w:rPr>
            </w:pPr>
            <w:r>
              <w:rPr>
                <w:rFonts w:ascii="Times" w:hAnsi="Times"/>
                <w:sz w:val="18"/>
                <w:szCs w:val="18"/>
                <w:lang w:val="en-GB"/>
              </w:rPr>
              <w:t>C</w:t>
            </w:r>
            <w:r w:rsidRPr="00BC1650">
              <w:rPr>
                <w:rFonts w:ascii="Times" w:hAnsi="Times"/>
                <w:sz w:val="18"/>
                <w:szCs w:val="18"/>
                <w:lang w:val="en-GB"/>
              </w:rPr>
              <w:t>oincident maximum power demand</w:t>
            </w:r>
            <w:r w:rsidR="0007589F">
              <w:rPr>
                <w:rFonts w:ascii="Times" w:hAnsi="Times"/>
                <w:sz w:val="18"/>
                <w:szCs w:val="18"/>
                <w:lang w:val="en-GB"/>
              </w:rPr>
              <w:t xml:space="preserve"> </w:t>
            </w:r>
            <m:oMath>
              <m:sSub>
                <m:sSubPr>
                  <m:ctrlPr>
                    <w:rPr>
                      <w:rFonts w:ascii="Cambria Math" w:hAnsi="Cambria Math"/>
                      <w:i/>
                      <w:sz w:val="18"/>
                      <w:szCs w:val="18"/>
                      <w:lang w:val="ru-RU"/>
                    </w:rPr>
                  </m:ctrlPr>
                </m:sSubPr>
                <m:e>
                  <m:r>
                    <w:rPr>
                      <w:rFonts w:ascii="Cambria Math" w:hAnsi="Cambria Math"/>
                      <w:sz w:val="18"/>
                      <w:szCs w:val="18"/>
                      <w:lang w:val="ru-RU"/>
                    </w:rPr>
                    <m:t>y</m:t>
                  </m:r>
                </m:e>
                <m:sub>
                  <m:r>
                    <w:rPr>
                      <w:rFonts w:ascii="Cambria Math" w:hAnsi="Cambria Math"/>
                      <w:sz w:val="18"/>
                      <w:szCs w:val="18"/>
                      <w:lang w:val="ru-RU"/>
                    </w:rPr>
                    <m:t>UES</m:t>
                  </m:r>
                </m:sub>
              </m:sSub>
            </m:oMath>
            <w:r w:rsidRPr="00BC1650">
              <w:rPr>
                <w:rFonts w:ascii="Times" w:hAnsi="Times"/>
                <w:sz w:val="18"/>
                <w:szCs w:val="18"/>
                <w:lang w:val="en-US"/>
              </w:rPr>
              <w:t xml:space="preserve">, </w:t>
            </w:r>
            <w:r>
              <w:rPr>
                <w:rFonts w:ascii="Times" w:hAnsi="Times"/>
                <w:sz w:val="18"/>
                <w:szCs w:val="18"/>
                <w:lang w:val="en-US"/>
              </w:rPr>
              <w:t>MW</w:t>
            </w:r>
            <w:r w:rsidR="0007589F">
              <w:rPr>
                <w:rFonts w:ascii="Times" w:hAnsi="Times"/>
                <w:sz w:val="18"/>
                <w:szCs w:val="18"/>
                <w:lang w:val="en-US"/>
              </w:rP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rsidR="000B6474" w:rsidRPr="00CA1091" w:rsidRDefault="00BC1650" w:rsidP="00B01B51">
            <w:pPr>
              <w:snapToGrid w:val="0"/>
              <w:jc w:val="center"/>
              <w:rPr>
                <w:rFonts w:ascii="Times" w:hAnsi="Times"/>
                <w:sz w:val="18"/>
                <w:szCs w:val="18"/>
                <w:lang w:val="en-GB"/>
              </w:rPr>
            </w:pPr>
            <w:r>
              <w:rPr>
                <w:rFonts w:ascii="Times" w:hAnsi="Times"/>
                <w:sz w:val="18"/>
                <w:szCs w:val="18"/>
                <w:lang w:val="en-GB"/>
              </w:rPr>
              <w:t>165202</w:t>
            </w:r>
          </w:p>
        </w:tc>
      </w:tr>
      <w:tr w:rsidR="00BC1650" w:rsidRPr="00CA1091" w:rsidTr="00BC1650">
        <w:trPr>
          <w:trHeight w:val="567"/>
          <w:jc w:val="center"/>
        </w:trPr>
        <w:tc>
          <w:tcPr>
            <w:tcW w:w="2873" w:type="dxa"/>
            <w:tcBorders>
              <w:top w:val="single" w:sz="4" w:space="0" w:color="000000"/>
              <w:left w:val="single" w:sz="4" w:space="0" w:color="000000"/>
              <w:bottom w:val="single" w:sz="4" w:space="0" w:color="000000"/>
            </w:tcBorders>
            <w:vAlign w:val="center"/>
          </w:tcPr>
          <w:p w:rsidR="00BC1650" w:rsidRPr="006776D5" w:rsidRDefault="00F51788" w:rsidP="00B01B51">
            <w:pPr>
              <w:snapToGrid w:val="0"/>
              <w:jc w:val="center"/>
              <w:rPr>
                <w:rFonts w:ascii="Times" w:hAnsi="Times"/>
                <w:sz w:val="18"/>
                <w:szCs w:val="18"/>
              </w:rPr>
            </w:pPr>
            <w:r w:rsidRPr="00F51788">
              <w:rPr>
                <w:rFonts w:ascii="Times" w:hAnsi="Times"/>
                <w:sz w:val="18"/>
                <w:szCs w:val="18"/>
              </w:rPr>
              <w:t>Capacity reserve, %</w:t>
            </w:r>
            <w:r w:rsidR="0007589F" w:rsidRPr="006776D5">
              <w:rPr>
                <w:rFonts w:ascii="Times" w:hAnsi="Times"/>
                <w:sz w:val="18"/>
                <w:szCs w:val="18"/>
              </w:rPr>
              <w:br/>
              <w:t xml:space="preserve"> (</w:t>
            </w:r>
            <m:oMath>
              <m:sSub>
                <m:sSubPr>
                  <m:ctrlPr>
                    <w:rPr>
                      <w:rFonts w:ascii="Cambria Math" w:hAnsi="Cambria Math"/>
                      <w:i/>
                      <w:sz w:val="18"/>
                      <w:szCs w:val="18"/>
                      <w:lang w:val="ru-RU"/>
                    </w:rPr>
                  </m:ctrlPr>
                </m:sSubPr>
                <m:e>
                  <m:r>
                    <w:rPr>
                      <w:rFonts w:ascii="Cambria Math" w:hAnsi="Cambria Math"/>
                      <w:sz w:val="18"/>
                      <w:szCs w:val="18"/>
                      <w:lang w:val="en-US"/>
                    </w:rPr>
                    <m:t>k</m:t>
                  </m:r>
                </m:e>
                <m:sub>
                  <m:r>
                    <w:rPr>
                      <w:rFonts w:ascii="Cambria Math" w:hAnsi="Cambria Math"/>
                      <w:sz w:val="18"/>
                      <w:szCs w:val="18"/>
                      <w:lang w:val="en-US"/>
                    </w:rPr>
                    <m:t>rez</m:t>
                  </m:r>
                </m:sub>
              </m:sSub>
              <m:r>
                <w:rPr>
                  <w:rFonts w:ascii="Cambria Math" w:hAnsi="Cambria Math"/>
                  <w:sz w:val="18"/>
                  <w:szCs w:val="18"/>
                </w:rPr>
                <m:t>=</m:t>
              </m:r>
              <m:f>
                <m:fPr>
                  <m:type m:val="skw"/>
                  <m:ctrlPr>
                    <w:rPr>
                      <w:rFonts w:ascii="Cambria Math" w:hAnsi="Cambria Math"/>
                      <w:i/>
                      <w:sz w:val="18"/>
                      <w:szCs w:val="18"/>
                      <w:lang w:val="ru-RU"/>
                    </w:rPr>
                  </m:ctrlPr>
                </m:fPr>
                <m:num>
                  <m:r>
                    <w:rPr>
                      <w:rFonts w:ascii="Cambria Math" w:hAnsi="Cambria Math"/>
                      <w:sz w:val="18"/>
                      <w:szCs w:val="18"/>
                    </w:rPr>
                    <m:t>(</m:t>
                  </m:r>
                  <m:sSub>
                    <m:sSubPr>
                      <m:ctrlPr>
                        <w:rPr>
                          <w:rFonts w:ascii="Cambria Math" w:hAnsi="Cambria Math"/>
                          <w:i/>
                          <w:sz w:val="18"/>
                          <w:szCs w:val="18"/>
                          <w:lang w:val="ru-RU"/>
                        </w:rPr>
                      </m:ctrlPr>
                    </m:sSubPr>
                    <m:e>
                      <m:r>
                        <w:rPr>
                          <w:rFonts w:ascii="Cambria Math" w:hAnsi="Cambria Math"/>
                          <w:sz w:val="18"/>
                          <w:szCs w:val="18"/>
                          <w:lang w:val="en-US"/>
                        </w:rPr>
                        <m:t>x</m:t>
                      </m:r>
                    </m:e>
                    <m:sub>
                      <m:r>
                        <w:rPr>
                          <w:rFonts w:ascii="Cambria Math" w:hAnsi="Cambria Math"/>
                          <w:sz w:val="18"/>
                          <w:szCs w:val="18"/>
                          <w:lang w:val="en-US"/>
                        </w:rPr>
                        <m:t>UES</m:t>
                      </m:r>
                    </m:sub>
                  </m:sSub>
                  <m:r>
                    <w:rPr>
                      <w:rFonts w:ascii="Cambria Math" w:hAnsi="Cambria Math"/>
                      <w:sz w:val="18"/>
                      <w:szCs w:val="18"/>
                    </w:rPr>
                    <m:t>-</m:t>
                  </m:r>
                  <m:sSub>
                    <m:sSubPr>
                      <m:ctrlPr>
                        <w:rPr>
                          <w:rFonts w:ascii="Cambria Math" w:hAnsi="Cambria Math"/>
                          <w:i/>
                          <w:sz w:val="18"/>
                          <w:szCs w:val="18"/>
                          <w:lang w:val="ru-RU"/>
                        </w:rPr>
                      </m:ctrlPr>
                    </m:sSubPr>
                    <m:e>
                      <m:r>
                        <w:rPr>
                          <w:rFonts w:ascii="Cambria Math" w:hAnsi="Cambria Math"/>
                          <w:sz w:val="18"/>
                          <w:szCs w:val="18"/>
                          <w:lang w:val="ru-RU"/>
                        </w:rPr>
                        <m:t>y</m:t>
                      </m:r>
                    </m:e>
                    <m:sub>
                      <m:r>
                        <w:rPr>
                          <w:rFonts w:ascii="Cambria Math" w:hAnsi="Cambria Math"/>
                          <w:sz w:val="18"/>
                          <w:szCs w:val="18"/>
                          <w:lang w:val="ru-RU"/>
                        </w:rPr>
                        <m:t>UES</m:t>
                      </m:r>
                    </m:sub>
                  </m:sSub>
                  <m:r>
                    <w:rPr>
                      <w:rFonts w:ascii="Cambria Math" w:hAnsi="Cambria Math"/>
                      <w:sz w:val="18"/>
                      <w:szCs w:val="18"/>
                    </w:rPr>
                    <m:t>)</m:t>
                  </m:r>
                </m:num>
                <m:den>
                  <m:sSub>
                    <m:sSubPr>
                      <m:ctrlPr>
                        <w:rPr>
                          <w:rFonts w:ascii="Cambria Math" w:hAnsi="Cambria Math"/>
                          <w:i/>
                          <w:sz w:val="18"/>
                          <w:szCs w:val="18"/>
                          <w:lang w:val="ru-RU"/>
                        </w:rPr>
                      </m:ctrlPr>
                    </m:sSubPr>
                    <m:e>
                      <m:r>
                        <w:rPr>
                          <w:rFonts w:ascii="Cambria Math" w:hAnsi="Cambria Math"/>
                          <w:sz w:val="18"/>
                          <w:szCs w:val="18"/>
                          <w:lang w:val="ru-RU"/>
                        </w:rPr>
                        <m:t>y</m:t>
                      </m:r>
                    </m:e>
                    <m:sub>
                      <m:r>
                        <w:rPr>
                          <w:rFonts w:ascii="Cambria Math" w:hAnsi="Cambria Math"/>
                          <w:sz w:val="18"/>
                          <w:szCs w:val="18"/>
                          <w:lang w:val="ru-RU"/>
                        </w:rPr>
                        <m:t>UES</m:t>
                      </m:r>
                    </m:sub>
                  </m:sSub>
                </m:den>
              </m:f>
            </m:oMath>
            <w:r w:rsidR="0007589F" w:rsidRPr="006776D5">
              <w:rPr>
                <w:rFonts w:ascii="Times" w:hAnsi="Times"/>
                <w:sz w:val="18"/>
                <w:szCs w:val="18"/>
              </w:rPr>
              <w:t>)</w:t>
            </w:r>
          </w:p>
        </w:tc>
        <w:tc>
          <w:tcPr>
            <w:tcW w:w="1279" w:type="dxa"/>
            <w:tcBorders>
              <w:top w:val="single" w:sz="4" w:space="0" w:color="000000"/>
              <w:left w:val="single" w:sz="4" w:space="0" w:color="000000"/>
              <w:bottom w:val="single" w:sz="4" w:space="0" w:color="000000"/>
              <w:right w:val="single" w:sz="4" w:space="0" w:color="000000"/>
            </w:tcBorders>
            <w:vAlign w:val="center"/>
          </w:tcPr>
          <w:p w:rsidR="00BC1650" w:rsidRPr="0007589F" w:rsidRDefault="0007589F" w:rsidP="00B01B51">
            <w:pPr>
              <w:snapToGrid w:val="0"/>
              <w:jc w:val="center"/>
              <w:rPr>
                <w:rFonts w:ascii="Times" w:hAnsi="Times"/>
                <w:sz w:val="18"/>
                <w:szCs w:val="18"/>
                <w:lang w:val="ru-RU"/>
              </w:rPr>
            </w:pPr>
            <w:r>
              <w:rPr>
                <w:rFonts w:ascii="Times" w:hAnsi="Times"/>
                <w:sz w:val="18"/>
                <w:szCs w:val="18"/>
                <w:lang w:val="ru-RU"/>
              </w:rPr>
              <w:t>32</w:t>
            </w:r>
          </w:p>
        </w:tc>
      </w:tr>
    </w:tbl>
    <w:p w:rsidR="000B6474" w:rsidRDefault="000B6474" w:rsidP="00F43F05">
      <w:pPr>
        <w:ind w:firstLine="284"/>
        <w:jc w:val="both"/>
        <w:rPr>
          <w:rFonts w:ascii="Times" w:hAnsi="Times"/>
          <w:sz w:val="20"/>
          <w:lang w:val="en-US"/>
        </w:rPr>
      </w:pPr>
    </w:p>
    <w:p w:rsidR="00D6584B" w:rsidRPr="00CA1091" w:rsidRDefault="00D6584B" w:rsidP="00D6584B">
      <w:pPr>
        <w:spacing w:before="170" w:after="170"/>
        <w:jc w:val="center"/>
        <w:rPr>
          <w:rFonts w:ascii="Times" w:hAnsi="Times"/>
          <w:iCs/>
          <w:sz w:val="18"/>
          <w:szCs w:val="16"/>
          <w:lang w:val="en-GB"/>
        </w:rPr>
      </w:pPr>
      <w:r w:rsidRPr="00CA1091">
        <w:rPr>
          <w:rFonts w:ascii="Times" w:hAnsi="Times"/>
          <w:b/>
          <w:bCs/>
          <w:iCs/>
          <w:sz w:val="18"/>
          <w:szCs w:val="16"/>
          <w:lang w:val="en-GB"/>
        </w:rPr>
        <w:t xml:space="preserve">Table </w:t>
      </w:r>
      <w:r>
        <w:rPr>
          <w:rFonts w:ascii="Times" w:hAnsi="Times"/>
          <w:b/>
          <w:bCs/>
          <w:iCs/>
          <w:sz w:val="18"/>
          <w:szCs w:val="16"/>
          <w:lang w:val="en-GB"/>
        </w:rPr>
        <w:t>2</w:t>
      </w:r>
      <w:r w:rsidRPr="00CA1091">
        <w:rPr>
          <w:rFonts w:ascii="Times" w:hAnsi="Times"/>
          <w:b/>
          <w:bCs/>
          <w:iCs/>
          <w:sz w:val="18"/>
          <w:szCs w:val="16"/>
          <w:lang w:val="en-GB"/>
        </w:rPr>
        <w:t>.</w:t>
      </w:r>
      <w:r w:rsidRPr="00CA1091">
        <w:rPr>
          <w:rFonts w:ascii="Times" w:hAnsi="Times"/>
          <w:iCs/>
          <w:sz w:val="18"/>
          <w:szCs w:val="16"/>
          <w:lang w:val="en-GB"/>
        </w:rPr>
        <w:t xml:space="preserve"> </w:t>
      </w:r>
      <w:r w:rsidRPr="000B6474">
        <w:rPr>
          <w:rFonts w:ascii="Times" w:hAnsi="Times"/>
          <w:iCs/>
          <w:sz w:val="18"/>
          <w:szCs w:val="16"/>
          <w:lang w:val="en-GB"/>
        </w:rPr>
        <w:t>Power balance in the U</w:t>
      </w:r>
      <w:r w:rsidR="000E17D0">
        <w:rPr>
          <w:rFonts w:ascii="Times" w:hAnsi="Times"/>
          <w:iCs/>
          <w:sz w:val="18"/>
          <w:szCs w:val="16"/>
          <w:lang w:val="en-GB"/>
        </w:rPr>
        <w:t>P</w:t>
      </w:r>
      <w:r w:rsidRPr="000B6474">
        <w:rPr>
          <w:rFonts w:ascii="Times" w:hAnsi="Times"/>
          <w:iCs/>
          <w:sz w:val="18"/>
          <w:szCs w:val="16"/>
          <w:lang w:val="en-GB"/>
        </w:rPr>
        <w:t>S of Russia at the level of 2022 (initial version)</w:t>
      </w:r>
    </w:p>
    <w:tbl>
      <w:tblPr>
        <w:tblW w:w="0" w:type="auto"/>
        <w:jc w:val="center"/>
        <w:tblLayout w:type="fixed"/>
        <w:tblLook w:val="0000" w:firstRow="0" w:lastRow="0" w:firstColumn="0" w:lastColumn="0" w:noHBand="0" w:noVBand="0"/>
      </w:tblPr>
      <w:tblGrid>
        <w:gridCol w:w="846"/>
        <w:gridCol w:w="992"/>
        <w:gridCol w:w="1277"/>
        <w:gridCol w:w="993"/>
      </w:tblGrid>
      <w:tr w:rsidR="00D6584B" w:rsidRPr="00CA1091" w:rsidTr="00D6584B">
        <w:trPr>
          <w:trHeight w:val="567"/>
          <w:jc w:val="center"/>
        </w:trPr>
        <w:tc>
          <w:tcPr>
            <w:tcW w:w="846" w:type="dxa"/>
            <w:tcBorders>
              <w:top w:val="single" w:sz="4" w:space="0" w:color="000000"/>
              <w:left w:val="single" w:sz="4" w:space="0" w:color="000000"/>
              <w:bottom w:val="single" w:sz="4" w:space="0" w:color="000000"/>
            </w:tcBorders>
            <w:vAlign w:val="center"/>
          </w:tcPr>
          <w:p w:rsidR="00D6584B" w:rsidRPr="00F51788" w:rsidRDefault="00D6584B" w:rsidP="00B01B51">
            <w:pPr>
              <w:snapToGrid w:val="0"/>
              <w:jc w:val="center"/>
              <w:rPr>
                <w:rFonts w:ascii="Times" w:hAnsi="Times"/>
                <w:b/>
                <w:sz w:val="18"/>
                <w:szCs w:val="18"/>
                <w:lang w:val="en-US"/>
              </w:rPr>
            </w:pPr>
            <w:r w:rsidRPr="00F51788">
              <w:rPr>
                <w:rFonts w:ascii="Times" w:hAnsi="Times"/>
                <w:b/>
                <w:sz w:val="18"/>
                <w:szCs w:val="18"/>
                <w:lang w:val="en-US"/>
              </w:rPr>
              <w:t>EPS Name</w:t>
            </w:r>
          </w:p>
        </w:tc>
        <w:tc>
          <w:tcPr>
            <w:tcW w:w="992" w:type="dxa"/>
            <w:tcBorders>
              <w:top w:val="single" w:sz="4" w:space="0" w:color="000000"/>
              <w:left w:val="single" w:sz="4" w:space="0" w:color="000000"/>
              <w:bottom w:val="single" w:sz="4" w:space="0" w:color="000000"/>
              <w:right w:val="single" w:sz="4" w:space="0" w:color="000000"/>
            </w:tcBorders>
            <w:vAlign w:val="center"/>
          </w:tcPr>
          <w:p w:rsidR="00D6584B" w:rsidRPr="00F51788" w:rsidRDefault="00D6584B" w:rsidP="00B01B51">
            <w:pPr>
              <w:snapToGrid w:val="0"/>
              <w:jc w:val="center"/>
              <w:rPr>
                <w:rFonts w:ascii="Times" w:hAnsi="Times"/>
                <w:b/>
                <w:sz w:val="18"/>
                <w:szCs w:val="18"/>
                <w:lang w:val="en-GB"/>
              </w:rPr>
            </w:pPr>
            <w:r w:rsidRPr="00F51788">
              <w:rPr>
                <w:rFonts w:ascii="Times" w:hAnsi="Times"/>
                <w:b/>
                <w:sz w:val="18"/>
                <w:szCs w:val="18"/>
                <w:lang w:val="en-US"/>
              </w:rPr>
              <w:t>Available</w:t>
            </w:r>
            <w:r w:rsidRPr="00F51788">
              <w:rPr>
                <w:rFonts w:ascii="Times" w:hAnsi="Times"/>
                <w:b/>
                <w:sz w:val="18"/>
                <w:szCs w:val="18"/>
                <w:lang w:val="en-GB"/>
              </w:rPr>
              <w:t xml:space="preserve"> capacity</w:t>
            </w:r>
            <w:r w:rsidRPr="00F51788">
              <w:rPr>
                <w:rFonts w:ascii="Times" w:hAnsi="Times"/>
                <w:b/>
                <w:sz w:val="18"/>
                <w:szCs w:val="18"/>
                <w:lang w:val="en-US"/>
              </w:rPr>
              <w:t>, MW</w:t>
            </w:r>
          </w:p>
        </w:tc>
        <w:tc>
          <w:tcPr>
            <w:tcW w:w="1277" w:type="dxa"/>
            <w:tcBorders>
              <w:top w:val="single" w:sz="4" w:space="0" w:color="000000"/>
              <w:left w:val="single" w:sz="4" w:space="0" w:color="000000"/>
              <w:bottom w:val="single" w:sz="4" w:space="0" w:color="000000"/>
              <w:right w:val="single" w:sz="4" w:space="0" w:color="000000"/>
            </w:tcBorders>
          </w:tcPr>
          <w:p w:rsidR="00D6584B" w:rsidRPr="00F51788" w:rsidRDefault="00D6584B" w:rsidP="00B01B51">
            <w:pPr>
              <w:snapToGrid w:val="0"/>
              <w:jc w:val="center"/>
              <w:rPr>
                <w:rFonts w:ascii="Times" w:hAnsi="Times"/>
                <w:b/>
                <w:sz w:val="18"/>
                <w:szCs w:val="18"/>
                <w:lang w:val="en-US"/>
              </w:rPr>
            </w:pPr>
            <w:r w:rsidRPr="00F51788">
              <w:rPr>
                <w:rFonts w:ascii="Times" w:hAnsi="Times"/>
                <w:b/>
                <w:sz w:val="18"/>
                <w:szCs w:val="18"/>
                <w:lang w:val="en-GB"/>
              </w:rPr>
              <w:t xml:space="preserve">Coincident maximum power </w:t>
            </w:r>
            <w:r w:rsidR="00F51788" w:rsidRPr="00F51788">
              <w:rPr>
                <w:rFonts w:ascii="Times" w:hAnsi="Times"/>
                <w:b/>
                <w:sz w:val="18"/>
                <w:szCs w:val="18"/>
                <w:lang w:val="en-GB"/>
              </w:rPr>
              <w:t>demand</w:t>
            </w:r>
            <w:r w:rsidRPr="00F51788">
              <w:rPr>
                <w:rFonts w:ascii="Times" w:hAnsi="Times"/>
                <w:b/>
                <w:sz w:val="18"/>
                <w:szCs w:val="18"/>
                <w:lang w:val="en-US"/>
              </w:rPr>
              <w:t>, MW</w:t>
            </w:r>
            <w:r w:rsidR="00583C4D">
              <w:rPr>
                <w:rFonts w:ascii="Times" w:hAnsi="Times"/>
                <w:b/>
                <w:sz w:val="18"/>
                <w:szCs w:val="18"/>
                <w:lang w:val="en-US"/>
              </w:rPr>
              <w:t xml:space="preserve"> (</w:t>
            </w:r>
            <w:r w:rsidR="00583C4D">
              <w:rPr>
                <w:rFonts w:ascii="Times" w:hAnsi="Times"/>
                <w:b/>
                <w:sz w:val="18"/>
                <w:szCs w:val="18"/>
                <w:lang w:val="en-GB"/>
              </w:rPr>
              <w:t>with U</w:t>
            </w:r>
            <w:r w:rsidR="000E17D0">
              <w:rPr>
                <w:rFonts w:ascii="Times" w:hAnsi="Times"/>
                <w:b/>
                <w:sz w:val="18"/>
                <w:szCs w:val="18"/>
                <w:lang w:val="en-GB"/>
              </w:rPr>
              <w:t>P</w:t>
            </w:r>
            <w:r w:rsidR="00583C4D">
              <w:rPr>
                <w:rFonts w:ascii="Times" w:hAnsi="Times"/>
                <w:b/>
                <w:sz w:val="18"/>
                <w:szCs w:val="18"/>
                <w:lang w:val="en-GB"/>
              </w:rPr>
              <w:t>S of Russia)</w:t>
            </w:r>
          </w:p>
        </w:tc>
        <w:tc>
          <w:tcPr>
            <w:tcW w:w="993" w:type="dxa"/>
            <w:tcBorders>
              <w:top w:val="single" w:sz="4" w:space="0" w:color="000000"/>
              <w:left w:val="single" w:sz="4" w:space="0" w:color="000000"/>
              <w:bottom w:val="single" w:sz="4" w:space="0" w:color="000000"/>
              <w:right w:val="single" w:sz="4" w:space="0" w:color="000000"/>
            </w:tcBorders>
          </w:tcPr>
          <w:p w:rsidR="00D6584B" w:rsidRPr="00F51788" w:rsidRDefault="00D6584B" w:rsidP="00B01B51">
            <w:pPr>
              <w:snapToGrid w:val="0"/>
              <w:jc w:val="center"/>
              <w:rPr>
                <w:rFonts w:ascii="Times" w:hAnsi="Times"/>
                <w:b/>
                <w:sz w:val="18"/>
                <w:szCs w:val="18"/>
                <w:lang w:val="en-US"/>
              </w:rPr>
            </w:pPr>
            <w:r w:rsidRPr="00F51788">
              <w:rPr>
                <w:rFonts w:ascii="Times" w:hAnsi="Times"/>
                <w:b/>
                <w:sz w:val="18"/>
                <w:szCs w:val="18"/>
                <w:lang w:val="en-GB"/>
              </w:rPr>
              <w:t>Capacity reserve</w:t>
            </w:r>
            <w:r w:rsidRPr="00F51788">
              <w:rPr>
                <w:rFonts w:ascii="Times" w:hAnsi="Times"/>
                <w:b/>
                <w:sz w:val="18"/>
                <w:szCs w:val="18"/>
                <w:lang w:val="en-US"/>
              </w:rPr>
              <w:t>, %</w:t>
            </w:r>
          </w:p>
        </w:tc>
      </w:tr>
      <w:tr w:rsidR="00D6584B" w:rsidRPr="00CA1091" w:rsidTr="00F51788">
        <w:trPr>
          <w:trHeight w:val="567"/>
          <w:jc w:val="center"/>
        </w:trPr>
        <w:tc>
          <w:tcPr>
            <w:tcW w:w="846" w:type="dxa"/>
            <w:tcBorders>
              <w:top w:val="single" w:sz="4" w:space="0" w:color="000000"/>
              <w:left w:val="single" w:sz="4" w:space="0" w:color="000000"/>
              <w:bottom w:val="single" w:sz="4" w:space="0" w:color="000000"/>
            </w:tcBorders>
            <w:vAlign w:val="center"/>
          </w:tcPr>
          <w:p w:rsidR="00D6584B" w:rsidRPr="006776D5" w:rsidRDefault="006776D5" w:rsidP="00B01B51">
            <w:pPr>
              <w:snapToGrid w:val="0"/>
              <w:jc w:val="center"/>
              <w:rPr>
                <w:rFonts w:ascii="Times" w:hAnsi="Times"/>
                <w:sz w:val="18"/>
                <w:szCs w:val="18"/>
                <w:lang w:val="ru-RU"/>
              </w:rPr>
            </w:pPr>
            <w:r>
              <w:rPr>
                <w:rFonts w:ascii="Times" w:hAnsi="Times"/>
                <w:sz w:val="18"/>
                <w:szCs w:val="18"/>
                <w:lang w:val="en-GB"/>
              </w:rPr>
              <w:t xml:space="preserve">Nord-West </w:t>
            </w:r>
            <w:r w:rsidR="0055389E">
              <w:rPr>
                <w:rFonts w:ascii="Times" w:hAnsi="Times"/>
                <w:sz w:val="18"/>
                <w:szCs w:val="18"/>
                <w:lang w:val="en-GB"/>
              </w:rPr>
              <w:t>I</w:t>
            </w:r>
            <w:r>
              <w:rPr>
                <w:rFonts w:ascii="Times" w:hAnsi="Times"/>
                <w:sz w:val="18"/>
                <w:szCs w:val="18"/>
                <w:lang w:val="en-GB"/>
              </w:rPr>
              <w:t>PS</w:t>
            </w:r>
          </w:p>
        </w:tc>
        <w:tc>
          <w:tcPr>
            <w:tcW w:w="992" w:type="dxa"/>
            <w:tcBorders>
              <w:top w:val="single" w:sz="4" w:space="0" w:color="000000"/>
              <w:left w:val="single" w:sz="4" w:space="0" w:color="000000"/>
              <w:bottom w:val="single" w:sz="4" w:space="0" w:color="000000"/>
              <w:right w:val="single" w:sz="4" w:space="0" w:color="000000"/>
            </w:tcBorders>
            <w:vAlign w:val="center"/>
          </w:tcPr>
          <w:p w:rsidR="00D6584B" w:rsidRPr="00D6584B" w:rsidRDefault="00F51788" w:rsidP="00B01B51">
            <w:pPr>
              <w:snapToGrid w:val="0"/>
              <w:jc w:val="center"/>
              <w:rPr>
                <w:rFonts w:ascii="Times" w:hAnsi="Times"/>
                <w:sz w:val="18"/>
                <w:szCs w:val="18"/>
                <w:lang w:val="en-US"/>
              </w:rPr>
            </w:pPr>
            <w:r>
              <w:rPr>
                <w:rFonts w:ascii="Times" w:hAnsi="Times"/>
                <w:sz w:val="18"/>
                <w:szCs w:val="18"/>
                <w:lang w:val="en-US"/>
              </w:rPr>
              <w:t>25634</w:t>
            </w:r>
          </w:p>
        </w:tc>
        <w:tc>
          <w:tcPr>
            <w:tcW w:w="1277" w:type="dxa"/>
            <w:tcBorders>
              <w:top w:val="single" w:sz="4" w:space="0" w:color="000000"/>
              <w:left w:val="single" w:sz="4" w:space="0" w:color="000000"/>
              <w:bottom w:val="single" w:sz="4" w:space="0" w:color="000000"/>
              <w:right w:val="single" w:sz="4" w:space="0" w:color="000000"/>
            </w:tcBorders>
            <w:vAlign w:val="center"/>
          </w:tcPr>
          <w:p w:rsidR="00D6584B" w:rsidRPr="00D6584B" w:rsidRDefault="00F51788" w:rsidP="00F51788">
            <w:pPr>
              <w:snapToGrid w:val="0"/>
              <w:jc w:val="center"/>
              <w:rPr>
                <w:rFonts w:ascii="Times" w:hAnsi="Times"/>
                <w:sz w:val="18"/>
                <w:szCs w:val="18"/>
                <w:lang w:val="en-US"/>
              </w:rPr>
            </w:pPr>
            <w:r>
              <w:rPr>
                <w:rFonts w:ascii="Times" w:hAnsi="Times"/>
                <w:sz w:val="18"/>
                <w:szCs w:val="18"/>
                <w:lang w:val="en-US"/>
              </w:rPr>
              <w:t>16470</w:t>
            </w:r>
          </w:p>
        </w:tc>
        <w:tc>
          <w:tcPr>
            <w:tcW w:w="993" w:type="dxa"/>
            <w:tcBorders>
              <w:top w:val="single" w:sz="4" w:space="0" w:color="000000"/>
              <w:left w:val="single" w:sz="4" w:space="0" w:color="000000"/>
              <w:bottom w:val="single" w:sz="4" w:space="0" w:color="000000"/>
              <w:right w:val="single" w:sz="4" w:space="0" w:color="000000"/>
            </w:tcBorders>
            <w:vAlign w:val="center"/>
          </w:tcPr>
          <w:p w:rsidR="00D6584B" w:rsidRPr="00D6584B" w:rsidRDefault="00F51788" w:rsidP="00F51788">
            <w:pPr>
              <w:snapToGrid w:val="0"/>
              <w:jc w:val="center"/>
              <w:rPr>
                <w:rFonts w:ascii="Times" w:hAnsi="Times"/>
                <w:sz w:val="18"/>
                <w:szCs w:val="18"/>
                <w:lang w:val="en-US"/>
              </w:rPr>
            </w:pPr>
            <w:r>
              <w:rPr>
                <w:rFonts w:ascii="Times" w:hAnsi="Times"/>
                <w:sz w:val="18"/>
                <w:szCs w:val="18"/>
                <w:lang w:val="en-US"/>
              </w:rPr>
              <w:t>55</w:t>
            </w:r>
          </w:p>
        </w:tc>
      </w:tr>
      <w:tr w:rsidR="00D6584B" w:rsidRPr="00CA1091" w:rsidTr="00F51788">
        <w:trPr>
          <w:trHeight w:val="567"/>
          <w:jc w:val="center"/>
        </w:trPr>
        <w:tc>
          <w:tcPr>
            <w:tcW w:w="846" w:type="dxa"/>
            <w:tcBorders>
              <w:top w:val="single" w:sz="4" w:space="0" w:color="000000"/>
              <w:left w:val="single" w:sz="4" w:space="0" w:color="000000"/>
              <w:bottom w:val="single" w:sz="4" w:space="0" w:color="000000"/>
            </w:tcBorders>
            <w:vAlign w:val="center"/>
          </w:tcPr>
          <w:p w:rsidR="00D6584B" w:rsidRPr="006776D5" w:rsidRDefault="006776D5" w:rsidP="00B01B51">
            <w:pPr>
              <w:snapToGrid w:val="0"/>
              <w:jc w:val="center"/>
              <w:rPr>
                <w:rFonts w:ascii="Times" w:hAnsi="Times"/>
                <w:sz w:val="18"/>
                <w:szCs w:val="18"/>
                <w:lang w:val="en-US"/>
              </w:rPr>
            </w:pPr>
            <w:r>
              <w:rPr>
                <w:rFonts w:ascii="Times" w:hAnsi="Times"/>
                <w:sz w:val="18"/>
                <w:szCs w:val="18"/>
                <w:lang w:val="en-US"/>
              </w:rPr>
              <w:t xml:space="preserve">Central </w:t>
            </w:r>
            <w:r w:rsidR="0055389E">
              <w:rPr>
                <w:rFonts w:ascii="Times" w:hAnsi="Times"/>
                <w:sz w:val="18"/>
                <w:szCs w:val="18"/>
                <w:lang w:val="en-US"/>
              </w:rPr>
              <w:t>I</w:t>
            </w:r>
            <w:r>
              <w:rPr>
                <w:rFonts w:ascii="Times" w:hAnsi="Times"/>
                <w:sz w:val="18"/>
                <w:szCs w:val="18"/>
                <w:lang w:val="en-US"/>
              </w:rPr>
              <w:t>PS</w:t>
            </w:r>
          </w:p>
        </w:tc>
        <w:tc>
          <w:tcPr>
            <w:tcW w:w="992" w:type="dxa"/>
            <w:tcBorders>
              <w:top w:val="single" w:sz="4" w:space="0" w:color="000000"/>
              <w:left w:val="single" w:sz="4" w:space="0" w:color="000000"/>
              <w:bottom w:val="single" w:sz="4" w:space="0" w:color="000000"/>
              <w:right w:val="single" w:sz="4" w:space="0" w:color="000000"/>
            </w:tcBorders>
            <w:vAlign w:val="center"/>
          </w:tcPr>
          <w:p w:rsidR="00D6584B" w:rsidRPr="00CA1091" w:rsidRDefault="00F51788" w:rsidP="00B01B51">
            <w:pPr>
              <w:snapToGrid w:val="0"/>
              <w:jc w:val="center"/>
              <w:rPr>
                <w:rFonts w:ascii="Times" w:hAnsi="Times"/>
                <w:sz w:val="18"/>
                <w:szCs w:val="18"/>
                <w:lang w:val="en-GB"/>
              </w:rPr>
            </w:pPr>
            <w:r>
              <w:rPr>
                <w:rFonts w:ascii="Times" w:hAnsi="Times"/>
                <w:sz w:val="18"/>
                <w:szCs w:val="18"/>
                <w:lang w:val="en-GB"/>
              </w:rPr>
              <w:t>43797</w:t>
            </w:r>
          </w:p>
        </w:tc>
        <w:tc>
          <w:tcPr>
            <w:tcW w:w="1277" w:type="dxa"/>
            <w:tcBorders>
              <w:top w:val="single" w:sz="4" w:space="0" w:color="000000"/>
              <w:left w:val="single" w:sz="4" w:space="0" w:color="000000"/>
              <w:bottom w:val="single" w:sz="4" w:space="0" w:color="000000"/>
              <w:right w:val="single" w:sz="4" w:space="0" w:color="000000"/>
            </w:tcBorders>
            <w:vAlign w:val="center"/>
          </w:tcPr>
          <w:p w:rsidR="00D6584B" w:rsidRPr="00F51788" w:rsidRDefault="00F51788" w:rsidP="00F51788">
            <w:pPr>
              <w:snapToGrid w:val="0"/>
              <w:jc w:val="center"/>
              <w:rPr>
                <w:rFonts w:ascii="Times" w:hAnsi="Times"/>
                <w:sz w:val="18"/>
                <w:szCs w:val="18"/>
                <w:lang w:val="ru-RU"/>
              </w:rPr>
            </w:pPr>
            <w:r>
              <w:rPr>
                <w:rFonts w:ascii="Times" w:hAnsi="Times"/>
                <w:sz w:val="18"/>
                <w:szCs w:val="18"/>
                <w:lang w:val="en-GB"/>
              </w:rPr>
              <w:t>37120</w:t>
            </w:r>
          </w:p>
        </w:tc>
        <w:tc>
          <w:tcPr>
            <w:tcW w:w="993" w:type="dxa"/>
            <w:tcBorders>
              <w:top w:val="single" w:sz="4" w:space="0" w:color="000000"/>
              <w:left w:val="single" w:sz="4" w:space="0" w:color="000000"/>
              <w:bottom w:val="single" w:sz="4" w:space="0" w:color="000000"/>
              <w:right w:val="single" w:sz="4" w:space="0" w:color="000000"/>
            </w:tcBorders>
            <w:vAlign w:val="center"/>
          </w:tcPr>
          <w:p w:rsidR="00D6584B" w:rsidRDefault="00F51788" w:rsidP="00F51788">
            <w:pPr>
              <w:snapToGrid w:val="0"/>
              <w:jc w:val="center"/>
              <w:rPr>
                <w:rFonts w:ascii="Times" w:hAnsi="Times"/>
                <w:sz w:val="18"/>
                <w:szCs w:val="18"/>
                <w:lang w:val="en-GB"/>
              </w:rPr>
            </w:pPr>
            <w:r>
              <w:rPr>
                <w:rFonts w:ascii="Times" w:hAnsi="Times"/>
                <w:sz w:val="18"/>
                <w:szCs w:val="18"/>
                <w:lang w:val="en-GB"/>
              </w:rPr>
              <w:t>18</w:t>
            </w:r>
          </w:p>
        </w:tc>
      </w:tr>
      <w:tr w:rsidR="00D6584B" w:rsidRPr="00CA1091" w:rsidTr="00F51788">
        <w:trPr>
          <w:trHeight w:val="567"/>
          <w:jc w:val="center"/>
        </w:trPr>
        <w:tc>
          <w:tcPr>
            <w:tcW w:w="846" w:type="dxa"/>
            <w:tcBorders>
              <w:top w:val="single" w:sz="4" w:space="0" w:color="000000"/>
              <w:left w:val="single" w:sz="4" w:space="0" w:color="000000"/>
              <w:bottom w:val="single" w:sz="4" w:space="0" w:color="000000"/>
            </w:tcBorders>
            <w:vAlign w:val="center"/>
          </w:tcPr>
          <w:p w:rsidR="00D6584B" w:rsidRPr="006776D5" w:rsidRDefault="006776D5" w:rsidP="00B01B51">
            <w:pPr>
              <w:snapToGrid w:val="0"/>
              <w:jc w:val="center"/>
              <w:rPr>
                <w:rFonts w:ascii="Times" w:hAnsi="Times"/>
                <w:sz w:val="18"/>
                <w:szCs w:val="18"/>
                <w:lang w:val="en-US"/>
              </w:rPr>
            </w:pPr>
            <w:r>
              <w:rPr>
                <w:rFonts w:ascii="Times" w:hAnsi="Times"/>
                <w:sz w:val="18"/>
                <w:szCs w:val="18"/>
                <w:lang w:val="en-GB"/>
              </w:rPr>
              <w:lastRenderedPageBreak/>
              <w:t xml:space="preserve">South </w:t>
            </w:r>
            <w:r w:rsidR="0055389E">
              <w:rPr>
                <w:rFonts w:ascii="Times" w:hAnsi="Times"/>
                <w:sz w:val="18"/>
                <w:szCs w:val="18"/>
                <w:lang w:val="en-GB"/>
              </w:rPr>
              <w:t>I</w:t>
            </w:r>
            <w:r>
              <w:rPr>
                <w:rFonts w:ascii="Times" w:hAnsi="Times"/>
                <w:sz w:val="18"/>
                <w:szCs w:val="18"/>
                <w:lang w:val="en-GB"/>
              </w:rPr>
              <w:t>PS</w:t>
            </w:r>
          </w:p>
        </w:tc>
        <w:tc>
          <w:tcPr>
            <w:tcW w:w="992" w:type="dxa"/>
            <w:tcBorders>
              <w:top w:val="single" w:sz="4" w:space="0" w:color="000000"/>
              <w:left w:val="single" w:sz="4" w:space="0" w:color="000000"/>
              <w:bottom w:val="single" w:sz="4" w:space="0" w:color="000000"/>
              <w:right w:val="single" w:sz="4" w:space="0" w:color="000000"/>
            </w:tcBorders>
            <w:vAlign w:val="center"/>
          </w:tcPr>
          <w:p w:rsidR="00D6584B" w:rsidRPr="00CA1091" w:rsidRDefault="00F51788" w:rsidP="00B01B51">
            <w:pPr>
              <w:snapToGrid w:val="0"/>
              <w:jc w:val="center"/>
              <w:rPr>
                <w:rFonts w:ascii="Times" w:hAnsi="Times"/>
                <w:sz w:val="18"/>
                <w:szCs w:val="18"/>
                <w:lang w:val="en-GB"/>
              </w:rPr>
            </w:pPr>
            <w:r>
              <w:rPr>
                <w:rFonts w:ascii="Times" w:hAnsi="Times"/>
                <w:sz w:val="18"/>
                <w:szCs w:val="18"/>
                <w:lang w:val="en-GB"/>
              </w:rPr>
              <w:t>21794</w:t>
            </w:r>
          </w:p>
        </w:tc>
        <w:tc>
          <w:tcPr>
            <w:tcW w:w="1277" w:type="dxa"/>
            <w:tcBorders>
              <w:top w:val="single" w:sz="4" w:space="0" w:color="000000"/>
              <w:left w:val="single" w:sz="4" w:space="0" w:color="000000"/>
              <w:bottom w:val="single" w:sz="4" w:space="0" w:color="000000"/>
              <w:right w:val="single" w:sz="4" w:space="0" w:color="000000"/>
            </w:tcBorders>
            <w:vAlign w:val="center"/>
          </w:tcPr>
          <w:p w:rsidR="00D6584B" w:rsidRDefault="00F51788" w:rsidP="00F51788">
            <w:pPr>
              <w:snapToGrid w:val="0"/>
              <w:jc w:val="center"/>
              <w:rPr>
                <w:rFonts w:ascii="Times" w:hAnsi="Times"/>
                <w:sz w:val="18"/>
                <w:szCs w:val="18"/>
                <w:lang w:val="en-GB"/>
              </w:rPr>
            </w:pPr>
            <w:r>
              <w:rPr>
                <w:rFonts w:ascii="Times" w:hAnsi="Times"/>
                <w:sz w:val="18"/>
                <w:szCs w:val="18"/>
                <w:lang w:val="en-GB"/>
              </w:rPr>
              <w:t>17840</w:t>
            </w:r>
          </w:p>
        </w:tc>
        <w:tc>
          <w:tcPr>
            <w:tcW w:w="993" w:type="dxa"/>
            <w:tcBorders>
              <w:top w:val="single" w:sz="4" w:space="0" w:color="000000"/>
              <w:left w:val="single" w:sz="4" w:space="0" w:color="000000"/>
              <w:bottom w:val="single" w:sz="4" w:space="0" w:color="000000"/>
              <w:right w:val="single" w:sz="4" w:space="0" w:color="000000"/>
            </w:tcBorders>
            <w:vAlign w:val="center"/>
          </w:tcPr>
          <w:p w:rsidR="00D6584B" w:rsidRDefault="00F51788" w:rsidP="00F51788">
            <w:pPr>
              <w:snapToGrid w:val="0"/>
              <w:jc w:val="center"/>
              <w:rPr>
                <w:rFonts w:ascii="Times" w:hAnsi="Times"/>
                <w:sz w:val="18"/>
                <w:szCs w:val="18"/>
                <w:lang w:val="en-GB"/>
              </w:rPr>
            </w:pPr>
            <w:r>
              <w:rPr>
                <w:rFonts w:ascii="Times" w:hAnsi="Times"/>
                <w:sz w:val="18"/>
                <w:szCs w:val="18"/>
                <w:lang w:val="en-GB"/>
              </w:rPr>
              <w:t>22</w:t>
            </w:r>
          </w:p>
        </w:tc>
      </w:tr>
      <w:tr w:rsidR="006776D5" w:rsidRPr="00CA1091" w:rsidTr="00F51788">
        <w:trPr>
          <w:trHeight w:val="567"/>
          <w:jc w:val="center"/>
        </w:trPr>
        <w:tc>
          <w:tcPr>
            <w:tcW w:w="846" w:type="dxa"/>
            <w:tcBorders>
              <w:top w:val="single" w:sz="4" w:space="0" w:color="000000"/>
              <w:left w:val="single" w:sz="4" w:space="0" w:color="000000"/>
              <w:bottom w:val="single" w:sz="4" w:space="0" w:color="000000"/>
            </w:tcBorders>
            <w:vAlign w:val="center"/>
          </w:tcPr>
          <w:p w:rsidR="006776D5" w:rsidRPr="00CA1091" w:rsidRDefault="00F51788" w:rsidP="00B01B51">
            <w:pPr>
              <w:snapToGrid w:val="0"/>
              <w:jc w:val="center"/>
              <w:rPr>
                <w:rFonts w:ascii="Times" w:hAnsi="Times"/>
                <w:sz w:val="18"/>
                <w:szCs w:val="18"/>
                <w:lang w:val="en-GB"/>
              </w:rPr>
            </w:pPr>
            <w:r>
              <w:rPr>
                <w:rFonts w:ascii="Times" w:hAnsi="Times"/>
                <w:sz w:val="18"/>
                <w:szCs w:val="18"/>
                <w:lang w:val="en-GB"/>
              </w:rPr>
              <w:t xml:space="preserve">Middle Volga </w:t>
            </w:r>
            <w:r w:rsidR="0055389E">
              <w:rPr>
                <w:rFonts w:ascii="Times" w:hAnsi="Times"/>
                <w:sz w:val="18"/>
                <w:szCs w:val="18"/>
                <w:lang w:val="en-GB"/>
              </w:rPr>
              <w:t>I</w:t>
            </w:r>
            <w:r>
              <w:rPr>
                <w:rFonts w:ascii="Times" w:hAnsi="Times"/>
                <w:sz w:val="18"/>
                <w:szCs w:val="18"/>
                <w:lang w:val="en-GB"/>
              </w:rPr>
              <w:t>PS</w:t>
            </w:r>
          </w:p>
        </w:tc>
        <w:tc>
          <w:tcPr>
            <w:tcW w:w="992" w:type="dxa"/>
            <w:tcBorders>
              <w:top w:val="single" w:sz="4" w:space="0" w:color="000000"/>
              <w:left w:val="single" w:sz="4" w:space="0" w:color="000000"/>
              <w:bottom w:val="single" w:sz="4" w:space="0" w:color="000000"/>
              <w:right w:val="single" w:sz="4" w:space="0" w:color="000000"/>
            </w:tcBorders>
            <w:vAlign w:val="center"/>
          </w:tcPr>
          <w:p w:rsidR="006776D5" w:rsidRPr="00CA1091" w:rsidRDefault="00F51788" w:rsidP="00B01B51">
            <w:pPr>
              <w:snapToGrid w:val="0"/>
              <w:jc w:val="center"/>
              <w:rPr>
                <w:rFonts w:ascii="Times" w:hAnsi="Times"/>
                <w:sz w:val="18"/>
                <w:szCs w:val="18"/>
                <w:lang w:val="en-GB"/>
              </w:rPr>
            </w:pPr>
            <w:r>
              <w:rPr>
                <w:rFonts w:ascii="Times" w:hAnsi="Times"/>
                <w:sz w:val="18"/>
                <w:szCs w:val="18"/>
                <w:lang w:val="en-GB"/>
              </w:rPr>
              <w:t>25181</w:t>
            </w:r>
          </w:p>
        </w:tc>
        <w:tc>
          <w:tcPr>
            <w:tcW w:w="1277" w:type="dxa"/>
            <w:tcBorders>
              <w:top w:val="single" w:sz="4" w:space="0" w:color="000000"/>
              <w:left w:val="single" w:sz="4" w:space="0" w:color="000000"/>
              <w:bottom w:val="single" w:sz="4" w:space="0" w:color="000000"/>
              <w:right w:val="single" w:sz="4" w:space="0" w:color="000000"/>
            </w:tcBorders>
            <w:vAlign w:val="center"/>
          </w:tcPr>
          <w:p w:rsidR="006776D5" w:rsidRDefault="00F51788" w:rsidP="00F51788">
            <w:pPr>
              <w:snapToGrid w:val="0"/>
              <w:jc w:val="center"/>
              <w:rPr>
                <w:rFonts w:ascii="Times" w:hAnsi="Times"/>
                <w:sz w:val="18"/>
                <w:szCs w:val="18"/>
                <w:lang w:val="en-GB"/>
              </w:rPr>
            </w:pPr>
            <w:r>
              <w:rPr>
                <w:rFonts w:ascii="Times" w:hAnsi="Times"/>
                <w:sz w:val="18"/>
                <w:szCs w:val="18"/>
                <w:lang w:val="en-GB"/>
              </w:rPr>
              <w:t>16953</w:t>
            </w:r>
          </w:p>
        </w:tc>
        <w:tc>
          <w:tcPr>
            <w:tcW w:w="993" w:type="dxa"/>
            <w:tcBorders>
              <w:top w:val="single" w:sz="4" w:space="0" w:color="000000"/>
              <w:left w:val="single" w:sz="4" w:space="0" w:color="000000"/>
              <w:bottom w:val="single" w:sz="4" w:space="0" w:color="000000"/>
              <w:right w:val="single" w:sz="4" w:space="0" w:color="000000"/>
            </w:tcBorders>
            <w:vAlign w:val="center"/>
          </w:tcPr>
          <w:p w:rsidR="006776D5" w:rsidRDefault="00F51788" w:rsidP="00F51788">
            <w:pPr>
              <w:snapToGrid w:val="0"/>
              <w:jc w:val="center"/>
              <w:rPr>
                <w:rFonts w:ascii="Times" w:hAnsi="Times"/>
                <w:sz w:val="18"/>
                <w:szCs w:val="18"/>
                <w:lang w:val="en-GB"/>
              </w:rPr>
            </w:pPr>
            <w:r>
              <w:rPr>
                <w:rFonts w:ascii="Times" w:hAnsi="Times"/>
                <w:sz w:val="18"/>
                <w:szCs w:val="18"/>
                <w:lang w:val="en-GB"/>
              </w:rPr>
              <w:t>43</w:t>
            </w:r>
          </w:p>
        </w:tc>
      </w:tr>
      <w:tr w:rsidR="006776D5" w:rsidRPr="00CA1091" w:rsidTr="00F51788">
        <w:trPr>
          <w:trHeight w:val="567"/>
          <w:jc w:val="center"/>
        </w:trPr>
        <w:tc>
          <w:tcPr>
            <w:tcW w:w="846" w:type="dxa"/>
            <w:tcBorders>
              <w:top w:val="single" w:sz="4" w:space="0" w:color="000000"/>
              <w:left w:val="single" w:sz="4" w:space="0" w:color="000000"/>
              <w:bottom w:val="single" w:sz="4" w:space="0" w:color="000000"/>
            </w:tcBorders>
            <w:vAlign w:val="center"/>
          </w:tcPr>
          <w:p w:rsidR="006776D5" w:rsidRPr="00CA1091" w:rsidRDefault="00F51788" w:rsidP="00B01B51">
            <w:pPr>
              <w:snapToGrid w:val="0"/>
              <w:jc w:val="center"/>
              <w:rPr>
                <w:rFonts w:ascii="Times" w:hAnsi="Times"/>
                <w:sz w:val="18"/>
                <w:szCs w:val="18"/>
                <w:lang w:val="en-GB"/>
              </w:rPr>
            </w:pPr>
            <w:r>
              <w:rPr>
                <w:rFonts w:ascii="Times" w:hAnsi="Times"/>
                <w:sz w:val="18"/>
                <w:szCs w:val="18"/>
                <w:lang w:val="en-GB"/>
              </w:rPr>
              <w:t xml:space="preserve">Ural </w:t>
            </w:r>
            <w:r w:rsidR="0055389E">
              <w:rPr>
                <w:rFonts w:ascii="Times" w:hAnsi="Times"/>
                <w:sz w:val="18"/>
                <w:szCs w:val="18"/>
                <w:lang w:val="en-GB"/>
              </w:rPr>
              <w:t>I</w:t>
            </w:r>
            <w:r>
              <w:rPr>
                <w:rFonts w:ascii="Times" w:hAnsi="Times"/>
                <w:sz w:val="18"/>
                <w:szCs w:val="18"/>
                <w:lang w:val="en-GB"/>
              </w:rPr>
              <w:t>PS</w:t>
            </w:r>
          </w:p>
        </w:tc>
        <w:tc>
          <w:tcPr>
            <w:tcW w:w="992" w:type="dxa"/>
            <w:tcBorders>
              <w:top w:val="single" w:sz="4" w:space="0" w:color="000000"/>
              <w:left w:val="single" w:sz="4" w:space="0" w:color="000000"/>
              <w:bottom w:val="single" w:sz="4" w:space="0" w:color="000000"/>
              <w:right w:val="single" w:sz="4" w:space="0" w:color="000000"/>
            </w:tcBorders>
            <w:vAlign w:val="center"/>
          </w:tcPr>
          <w:p w:rsidR="006776D5" w:rsidRPr="00CA1091" w:rsidRDefault="00F51788" w:rsidP="00B01B51">
            <w:pPr>
              <w:snapToGrid w:val="0"/>
              <w:jc w:val="center"/>
              <w:rPr>
                <w:rFonts w:ascii="Times" w:hAnsi="Times"/>
                <w:sz w:val="18"/>
                <w:szCs w:val="18"/>
                <w:lang w:val="en-GB"/>
              </w:rPr>
            </w:pPr>
            <w:r>
              <w:rPr>
                <w:rFonts w:ascii="Times" w:hAnsi="Times"/>
                <w:sz w:val="18"/>
                <w:szCs w:val="18"/>
                <w:lang w:val="en-GB"/>
              </w:rPr>
              <w:t>51309</w:t>
            </w:r>
          </w:p>
        </w:tc>
        <w:tc>
          <w:tcPr>
            <w:tcW w:w="1277" w:type="dxa"/>
            <w:tcBorders>
              <w:top w:val="single" w:sz="4" w:space="0" w:color="000000"/>
              <w:left w:val="single" w:sz="4" w:space="0" w:color="000000"/>
              <w:bottom w:val="single" w:sz="4" w:space="0" w:color="000000"/>
              <w:right w:val="single" w:sz="4" w:space="0" w:color="000000"/>
            </w:tcBorders>
            <w:vAlign w:val="center"/>
          </w:tcPr>
          <w:p w:rsidR="006776D5" w:rsidRDefault="00F51788" w:rsidP="00F51788">
            <w:pPr>
              <w:snapToGrid w:val="0"/>
              <w:jc w:val="center"/>
              <w:rPr>
                <w:rFonts w:ascii="Times" w:hAnsi="Times"/>
                <w:sz w:val="18"/>
                <w:szCs w:val="18"/>
                <w:lang w:val="en-GB"/>
              </w:rPr>
            </w:pPr>
            <w:r>
              <w:rPr>
                <w:rFonts w:ascii="Times" w:hAnsi="Times"/>
                <w:sz w:val="18"/>
                <w:szCs w:val="18"/>
                <w:lang w:val="en-GB"/>
              </w:rPr>
              <w:t>38820</w:t>
            </w:r>
          </w:p>
        </w:tc>
        <w:tc>
          <w:tcPr>
            <w:tcW w:w="993" w:type="dxa"/>
            <w:tcBorders>
              <w:top w:val="single" w:sz="4" w:space="0" w:color="000000"/>
              <w:left w:val="single" w:sz="4" w:space="0" w:color="000000"/>
              <w:bottom w:val="single" w:sz="4" w:space="0" w:color="000000"/>
              <w:right w:val="single" w:sz="4" w:space="0" w:color="000000"/>
            </w:tcBorders>
            <w:vAlign w:val="center"/>
          </w:tcPr>
          <w:p w:rsidR="006776D5" w:rsidRDefault="00F51788" w:rsidP="00F51788">
            <w:pPr>
              <w:snapToGrid w:val="0"/>
              <w:jc w:val="center"/>
              <w:rPr>
                <w:rFonts w:ascii="Times" w:hAnsi="Times"/>
                <w:sz w:val="18"/>
                <w:szCs w:val="18"/>
                <w:lang w:val="en-GB"/>
              </w:rPr>
            </w:pPr>
            <w:r>
              <w:rPr>
                <w:rFonts w:ascii="Times" w:hAnsi="Times"/>
                <w:sz w:val="18"/>
                <w:szCs w:val="18"/>
                <w:lang w:val="en-GB"/>
              </w:rPr>
              <w:t>32</w:t>
            </w:r>
          </w:p>
        </w:tc>
      </w:tr>
      <w:tr w:rsidR="006776D5" w:rsidRPr="00CA1091" w:rsidTr="00F51788">
        <w:trPr>
          <w:trHeight w:val="567"/>
          <w:jc w:val="center"/>
        </w:trPr>
        <w:tc>
          <w:tcPr>
            <w:tcW w:w="846" w:type="dxa"/>
            <w:tcBorders>
              <w:top w:val="single" w:sz="4" w:space="0" w:color="000000"/>
              <w:left w:val="single" w:sz="4" w:space="0" w:color="000000"/>
              <w:bottom w:val="single" w:sz="4" w:space="0" w:color="000000"/>
            </w:tcBorders>
            <w:vAlign w:val="center"/>
          </w:tcPr>
          <w:p w:rsidR="006776D5" w:rsidRPr="00CA1091" w:rsidRDefault="00F51788" w:rsidP="00B01B51">
            <w:pPr>
              <w:snapToGrid w:val="0"/>
              <w:jc w:val="center"/>
              <w:rPr>
                <w:rFonts w:ascii="Times" w:hAnsi="Times"/>
                <w:sz w:val="18"/>
                <w:szCs w:val="18"/>
                <w:lang w:val="en-GB"/>
              </w:rPr>
            </w:pPr>
            <w:r>
              <w:rPr>
                <w:rFonts w:ascii="Times" w:hAnsi="Times"/>
                <w:sz w:val="18"/>
                <w:szCs w:val="18"/>
                <w:lang w:val="en-GB"/>
              </w:rPr>
              <w:t xml:space="preserve">Siberia </w:t>
            </w:r>
            <w:r w:rsidR="0055389E">
              <w:rPr>
                <w:rFonts w:ascii="Times" w:hAnsi="Times"/>
                <w:sz w:val="18"/>
                <w:szCs w:val="18"/>
                <w:lang w:val="en-GB"/>
              </w:rPr>
              <w:t>I</w:t>
            </w:r>
            <w:r>
              <w:rPr>
                <w:rFonts w:ascii="Times" w:hAnsi="Times"/>
                <w:sz w:val="18"/>
                <w:szCs w:val="18"/>
                <w:lang w:val="en-GB"/>
              </w:rPr>
              <w:t>PS</w:t>
            </w:r>
          </w:p>
        </w:tc>
        <w:tc>
          <w:tcPr>
            <w:tcW w:w="992" w:type="dxa"/>
            <w:tcBorders>
              <w:top w:val="single" w:sz="4" w:space="0" w:color="000000"/>
              <w:left w:val="single" w:sz="4" w:space="0" w:color="000000"/>
              <w:bottom w:val="single" w:sz="4" w:space="0" w:color="000000"/>
              <w:right w:val="single" w:sz="4" w:space="0" w:color="000000"/>
            </w:tcBorders>
            <w:vAlign w:val="center"/>
          </w:tcPr>
          <w:p w:rsidR="006776D5" w:rsidRPr="00CA1091" w:rsidRDefault="00F51788" w:rsidP="00B01B51">
            <w:pPr>
              <w:snapToGrid w:val="0"/>
              <w:jc w:val="center"/>
              <w:rPr>
                <w:rFonts w:ascii="Times" w:hAnsi="Times"/>
                <w:sz w:val="18"/>
                <w:szCs w:val="18"/>
                <w:lang w:val="en-GB"/>
              </w:rPr>
            </w:pPr>
            <w:r>
              <w:rPr>
                <w:rFonts w:ascii="Times" w:hAnsi="Times"/>
                <w:sz w:val="18"/>
                <w:szCs w:val="18"/>
                <w:lang w:val="en-GB"/>
              </w:rPr>
              <w:t>38544</w:t>
            </w:r>
          </w:p>
        </w:tc>
        <w:tc>
          <w:tcPr>
            <w:tcW w:w="1277" w:type="dxa"/>
            <w:tcBorders>
              <w:top w:val="single" w:sz="4" w:space="0" w:color="000000"/>
              <w:left w:val="single" w:sz="4" w:space="0" w:color="000000"/>
              <w:bottom w:val="single" w:sz="4" w:space="0" w:color="000000"/>
              <w:right w:val="single" w:sz="4" w:space="0" w:color="000000"/>
            </w:tcBorders>
            <w:vAlign w:val="center"/>
          </w:tcPr>
          <w:p w:rsidR="006776D5" w:rsidRDefault="00F51788" w:rsidP="00F51788">
            <w:pPr>
              <w:snapToGrid w:val="0"/>
              <w:jc w:val="center"/>
              <w:rPr>
                <w:rFonts w:ascii="Times" w:hAnsi="Times"/>
                <w:sz w:val="18"/>
                <w:szCs w:val="18"/>
                <w:lang w:val="en-GB"/>
              </w:rPr>
            </w:pPr>
            <w:r>
              <w:rPr>
                <w:rFonts w:ascii="Times" w:hAnsi="Times"/>
                <w:sz w:val="18"/>
                <w:szCs w:val="18"/>
                <w:lang w:val="en-GB"/>
              </w:rPr>
              <w:t>31483</w:t>
            </w:r>
          </w:p>
        </w:tc>
        <w:tc>
          <w:tcPr>
            <w:tcW w:w="993" w:type="dxa"/>
            <w:tcBorders>
              <w:top w:val="single" w:sz="4" w:space="0" w:color="000000"/>
              <w:left w:val="single" w:sz="4" w:space="0" w:color="000000"/>
              <w:bottom w:val="single" w:sz="4" w:space="0" w:color="000000"/>
              <w:right w:val="single" w:sz="4" w:space="0" w:color="000000"/>
            </w:tcBorders>
            <w:vAlign w:val="center"/>
          </w:tcPr>
          <w:p w:rsidR="006776D5" w:rsidRDefault="00F51788" w:rsidP="00F51788">
            <w:pPr>
              <w:snapToGrid w:val="0"/>
              <w:jc w:val="center"/>
              <w:rPr>
                <w:rFonts w:ascii="Times" w:hAnsi="Times"/>
                <w:sz w:val="18"/>
                <w:szCs w:val="18"/>
                <w:lang w:val="en-GB"/>
              </w:rPr>
            </w:pPr>
            <w:r>
              <w:rPr>
                <w:rFonts w:ascii="Times" w:hAnsi="Times"/>
                <w:sz w:val="18"/>
                <w:szCs w:val="18"/>
                <w:lang w:val="en-GB"/>
              </w:rPr>
              <w:t>22</w:t>
            </w:r>
          </w:p>
        </w:tc>
      </w:tr>
      <w:tr w:rsidR="00D6584B" w:rsidRPr="00CA1091" w:rsidTr="00F51788">
        <w:trPr>
          <w:trHeight w:val="567"/>
          <w:jc w:val="center"/>
        </w:trPr>
        <w:tc>
          <w:tcPr>
            <w:tcW w:w="846" w:type="dxa"/>
            <w:tcBorders>
              <w:top w:val="single" w:sz="4" w:space="0" w:color="000000"/>
              <w:left w:val="single" w:sz="4" w:space="0" w:color="000000"/>
              <w:bottom w:val="single" w:sz="4" w:space="0" w:color="000000"/>
            </w:tcBorders>
            <w:vAlign w:val="center"/>
          </w:tcPr>
          <w:p w:rsidR="00D6584B" w:rsidRPr="0007589F" w:rsidRDefault="00F51788" w:rsidP="00B01B51">
            <w:pPr>
              <w:snapToGrid w:val="0"/>
              <w:jc w:val="center"/>
              <w:rPr>
                <w:rFonts w:ascii="Times" w:hAnsi="Times"/>
                <w:sz w:val="18"/>
                <w:szCs w:val="18"/>
                <w:lang w:val="en-US"/>
              </w:rPr>
            </w:pPr>
            <w:r>
              <w:rPr>
                <w:rFonts w:ascii="Times" w:hAnsi="Times"/>
                <w:sz w:val="18"/>
                <w:szCs w:val="18"/>
                <w:lang w:val="en-US"/>
              </w:rPr>
              <w:t xml:space="preserve">East </w:t>
            </w:r>
            <w:r w:rsidR="0055389E">
              <w:rPr>
                <w:rFonts w:ascii="Times" w:hAnsi="Times"/>
                <w:sz w:val="18"/>
                <w:szCs w:val="18"/>
                <w:lang w:val="en-US"/>
              </w:rPr>
              <w:t>I</w:t>
            </w:r>
            <w:r>
              <w:rPr>
                <w:rFonts w:ascii="Times" w:hAnsi="Times"/>
                <w:sz w:val="18"/>
                <w:szCs w:val="18"/>
                <w:lang w:val="en-US"/>
              </w:rPr>
              <w:t>PS</w:t>
            </w:r>
          </w:p>
        </w:tc>
        <w:tc>
          <w:tcPr>
            <w:tcW w:w="992" w:type="dxa"/>
            <w:tcBorders>
              <w:top w:val="single" w:sz="4" w:space="0" w:color="000000"/>
              <w:left w:val="single" w:sz="4" w:space="0" w:color="000000"/>
              <w:bottom w:val="single" w:sz="4" w:space="0" w:color="000000"/>
              <w:right w:val="single" w:sz="4" w:space="0" w:color="000000"/>
            </w:tcBorders>
            <w:vAlign w:val="center"/>
          </w:tcPr>
          <w:p w:rsidR="00D6584B" w:rsidRPr="00D6584B" w:rsidRDefault="00F51788" w:rsidP="00B01B51">
            <w:pPr>
              <w:snapToGrid w:val="0"/>
              <w:jc w:val="center"/>
              <w:rPr>
                <w:rFonts w:ascii="Times" w:hAnsi="Times"/>
                <w:sz w:val="18"/>
                <w:szCs w:val="18"/>
                <w:lang w:val="en-US"/>
              </w:rPr>
            </w:pPr>
            <w:r>
              <w:rPr>
                <w:rFonts w:ascii="Times" w:hAnsi="Times"/>
                <w:sz w:val="18"/>
                <w:szCs w:val="18"/>
                <w:lang w:val="en-US"/>
              </w:rPr>
              <w:t>11843</w:t>
            </w:r>
          </w:p>
        </w:tc>
        <w:tc>
          <w:tcPr>
            <w:tcW w:w="1277" w:type="dxa"/>
            <w:tcBorders>
              <w:top w:val="single" w:sz="4" w:space="0" w:color="000000"/>
              <w:left w:val="single" w:sz="4" w:space="0" w:color="000000"/>
              <w:bottom w:val="single" w:sz="4" w:space="0" w:color="000000"/>
              <w:right w:val="single" w:sz="4" w:space="0" w:color="000000"/>
            </w:tcBorders>
            <w:vAlign w:val="center"/>
          </w:tcPr>
          <w:p w:rsidR="00D6584B" w:rsidRPr="00D6584B" w:rsidRDefault="00F51788" w:rsidP="00F51788">
            <w:pPr>
              <w:snapToGrid w:val="0"/>
              <w:jc w:val="center"/>
              <w:rPr>
                <w:rFonts w:ascii="Times" w:hAnsi="Times"/>
                <w:sz w:val="18"/>
                <w:szCs w:val="18"/>
                <w:lang w:val="en-US"/>
              </w:rPr>
            </w:pPr>
            <w:r>
              <w:rPr>
                <w:rFonts w:ascii="Times" w:hAnsi="Times"/>
                <w:sz w:val="18"/>
                <w:szCs w:val="18"/>
                <w:lang w:val="en-US"/>
              </w:rPr>
              <w:t>7137</w:t>
            </w:r>
            <w:r w:rsidR="0055389E">
              <w:rPr>
                <w:rFonts w:ascii="Times" w:hAnsi="Times"/>
                <w:sz w:val="18"/>
                <w:szCs w:val="18"/>
                <w:lang w:val="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D6584B" w:rsidRPr="00D6584B" w:rsidRDefault="00F51788" w:rsidP="00F51788">
            <w:pPr>
              <w:snapToGrid w:val="0"/>
              <w:jc w:val="center"/>
              <w:rPr>
                <w:rFonts w:ascii="Times" w:hAnsi="Times"/>
                <w:sz w:val="18"/>
                <w:szCs w:val="18"/>
                <w:lang w:val="en-US"/>
              </w:rPr>
            </w:pPr>
            <w:r>
              <w:rPr>
                <w:rFonts w:ascii="Times" w:hAnsi="Times"/>
                <w:sz w:val="18"/>
                <w:szCs w:val="18"/>
                <w:lang w:val="en-US"/>
              </w:rPr>
              <w:t>66</w:t>
            </w:r>
          </w:p>
        </w:tc>
      </w:tr>
    </w:tbl>
    <w:p w:rsidR="0007589F" w:rsidRDefault="0055389E" w:rsidP="00F43F05">
      <w:pPr>
        <w:ind w:firstLine="284"/>
        <w:jc w:val="both"/>
        <w:rPr>
          <w:rFonts w:ascii="Times" w:hAnsi="Times"/>
          <w:sz w:val="20"/>
        </w:rPr>
      </w:pPr>
      <w:r>
        <w:rPr>
          <w:rFonts w:ascii="Times" w:hAnsi="Times"/>
          <w:sz w:val="20"/>
        </w:rPr>
        <w:t>*</w:t>
      </w:r>
      <w:r w:rsidR="00583C4D">
        <w:rPr>
          <w:rFonts w:ascii="Times" w:hAnsi="Times"/>
          <w:sz w:val="20"/>
        </w:rPr>
        <w:t xml:space="preserve"> </w:t>
      </w:r>
      <w:r w:rsidR="00583C4D" w:rsidRPr="00583C4D">
        <w:rPr>
          <w:rFonts w:ascii="Times" w:hAnsi="Times"/>
          <w:sz w:val="20"/>
        </w:rPr>
        <w:t>I</w:t>
      </w:r>
      <w:r w:rsidR="00914E98">
        <w:rPr>
          <w:rFonts w:ascii="Times" w:hAnsi="Times"/>
          <w:sz w:val="20"/>
        </w:rPr>
        <w:t>P</w:t>
      </w:r>
      <w:r w:rsidR="00583C4D" w:rsidRPr="00583C4D">
        <w:rPr>
          <w:rFonts w:ascii="Times" w:hAnsi="Times"/>
          <w:sz w:val="20"/>
        </w:rPr>
        <w:t>S of the East operates in isolation from the U</w:t>
      </w:r>
      <w:r w:rsidR="000E17D0">
        <w:rPr>
          <w:rFonts w:ascii="Times" w:hAnsi="Times"/>
          <w:sz w:val="20"/>
        </w:rPr>
        <w:t>P</w:t>
      </w:r>
      <w:r w:rsidR="00583C4D" w:rsidRPr="00583C4D">
        <w:rPr>
          <w:rFonts w:ascii="Times" w:hAnsi="Times"/>
          <w:sz w:val="20"/>
        </w:rPr>
        <w:t>S of Russia, using its own maximum power consumption.</w:t>
      </w:r>
    </w:p>
    <w:p w:rsidR="00914E98" w:rsidRDefault="00914E98" w:rsidP="00F43F05">
      <w:pPr>
        <w:ind w:firstLine="284"/>
        <w:jc w:val="both"/>
        <w:rPr>
          <w:rFonts w:ascii="Times" w:hAnsi="Times"/>
          <w:sz w:val="20"/>
        </w:rPr>
      </w:pPr>
    </w:p>
    <w:p w:rsidR="00583C4D" w:rsidRDefault="00914E98" w:rsidP="00F43F05">
      <w:pPr>
        <w:ind w:firstLine="284"/>
        <w:jc w:val="both"/>
        <w:rPr>
          <w:rFonts w:ascii="Times" w:hAnsi="Times"/>
          <w:sz w:val="20"/>
        </w:rPr>
      </w:pPr>
      <w:r w:rsidRPr="00914E98">
        <w:rPr>
          <w:rFonts w:ascii="Times" w:hAnsi="Times"/>
          <w:sz w:val="20"/>
        </w:rPr>
        <w:t>As can be seen from Tables 1 and 2, the level of generating capacity redundancy in the U</w:t>
      </w:r>
      <w:r w:rsidR="000E17D0">
        <w:rPr>
          <w:rFonts w:ascii="Times" w:hAnsi="Times"/>
          <w:sz w:val="20"/>
        </w:rPr>
        <w:t>P</w:t>
      </w:r>
      <w:r w:rsidRPr="00914E98">
        <w:rPr>
          <w:rFonts w:ascii="Times" w:hAnsi="Times"/>
          <w:sz w:val="20"/>
        </w:rPr>
        <w:t>S of Russia and</w:t>
      </w:r>
      <w:r w:rsidR="00616AC8" w:rsidRPr="00616AC8">
        <w:rPr>
          <w:rFonts w:ascii="Times" w:hAnsi="Times"/>
          <w:sz w:val="20"/>
          <w:lang w:val="en-US"/>
        </w:rPr>
        <w:t>,</w:t>
      </w:r>
      <w:r w:rsidR="00616AC8" w:rsidRPr="00616AC8">
        <w:t xml:space="preserve"> </w:t>
      </w:r>
      <w:r w:rsidR="00616AC8" w:rsidRPr="00616AC8">
        <w:rPr>
          <w:rFonts w:ascii="Times" w:hAnsi="Times"/>
          <w:sz w:val="20"/>
        </w:rPr>
        <w:t>particularly</w:t>
      </w:r>
      <w:r w:rsidR="00616AC8" w:rsidRPr="00616AC8">
        <w:rPr>
          <w:rFonts w:ascii="Times" w:hAnsi="Times"/>
          <w:sz w:val="20"/>
          <w:lang w:val="en-US"/>
        </w:rPr>
        <w:t>,</w:t>
      </w:r>
      <w:r w:rsidRPr="00914E98">
        <w:rPr>
          <w:rFonts w:ascii="Times" w:hAnsi="Times"/>
          <w:sz w:val="20"/>
        </w:rPr>
        <w:t xml:space="preserve"> in </w:t>
      </w:r>
      <w:r>
        <w:rPr>
          <w:rFonts w:ascii="Times" w:hAnsi="Times"/>
          <w:sz w:val="20"/>
        </w:rPr>
        <w:t>IPSs</w:t>
      </w:r>
      <w:r w:rsidRPr="00914E98">
        <w:rPr>
          <w:rFonts w:ascii="Times" w:hAnsi="Times"/>
          <w:sz w:val="20"/>
        </w:rPr>
        <w:t xml:space="preserve"> is high. If we compare the presented values of </w:t>
      </w:r>
      <w:r w:rsidR="00616AC8">
        <w:rPr>
          <w:rFonts w:ascii="Times" w:hAnsi="Times"/>
          <w:sz w:val="20"/>
          <w:lang w:val="en-US"/>
        </w:rPr>
        <w:t>capacity</w:t>
      </w:r>
      <w:r w:rsidRPr="00914E98">
        <w:rPr>
          <w:rFonts w:ascii="Times" w:hAnsi="Times"/>
          <w:sz w:val="20"/>
        </w:rPr>
        <w:t xml:space="preserve"> reserves with the values presented in [15], we can see that, for example, </w:t>
      </w:r>
      <w:r w:rsidR="00616AC8" w:rsidRPr="00914E98">
        <w:rPr>
          <w:rFonts w:ascii="Times" w:hAnsi="Times"/>
          <w:sz w:val="20"/>
        </w:rPr>
        <w:t xml:space="preserve">recommended </w:t>
      </w:r>
      <w:r w:rsidR="00616AC8">
        <w:rPr>
          <w:rFonts w:ascii="Times" w:hAnsi="Times"/>
          <w:sz w:val="20"/>
          <w:lang w:val="en-US"/>
        </w:rPr>
        <w:t>value</w:t>
      </w:r>
      <w:r w:rsidR="00616AC8" w:rsidRPr="00616AC8">
        <w:rPr>
          <w:rFonts w:ascii="Times" w:hAnsi="Times"/>
          <w:sz w:val="20"/>
          <w:lang w:val="en-US"/>
        </w:rPr>
        <w:t xml:space="preserve"> </w:t>
      </w:r>
      <w:r w:rsidRPr="00914E98">
        <w:rPr>
          <w:rFonts w:ascii="Times" w:hAnsi="Times"/>
          <w:sz w:val="20"/>
        </w:rPr>
        <w:t>for the</w:t>
      </w:r>
      <w:r>
        <w:rPr>
          <w:rFonts w:ascii="Times" w:hAnsi="Times"/>
          <w:sz w:val="20"/>
        </w:rPr>
        <w:t xml:space="preserve"> IPS</w:t>
      </w:r>
      <w:r w:rsidRPr="00914E98">
        <w:rPr>
          <w:rFonts w:ascii="Times" w:hAnsi="Times"/>
          <w:sz w:val="20"/>
        </w:rPr>
        <w:t xml:space="preserve"> of Siberia </w:t>
      </w:r>
      <w:r w:rsidR="00616AC8">
        <w:rPr>
          <w:rFonts w:ascii="Times" w:hAnsi="Times"/>
          <w:sz w:val="20"/>
          <w:lang w:val="en-US"/>
        </w:rPr>
        <w:t xml:space="preserve">is </w:t>
      </w:r>
      <w:r w:rsidRPr="00914E98">
        <w:rPr>
          <w:rFonts w:ascii="Times" w:hAnsi="Times"/>
          <w:sz w:val="20"/>
        </w:rPr>
        <w:t xml:space="preserve">12% [15], instead of the real 22%. Moreover, when determining the actual reserve ratio, all </w:t>
      </w:r>
      <w:r>
        <w:rPr>
          <w:rFonts w:ascii="Times" w:hAnsi="Times"/>
          <w:sz w:val="20"/>
        </w:rPr>
        <w:t>limitations</w:t>
      </w:r>
      <w:r w:rsidRPr="00914E98">
        <w:rPr>
          <w:rFonts w:ascii="Times" w:hAnsi="Times"/>
          <w:sz w:val="20"/>
        </w:rPr>
        <w:t xml:space="preserve"> were taken into account, including hydroelectric power stations</w:t>
      </w:r>
      <w:r>
        <w:rPr>
          <w:rFonts w:ascii="Times" w:hAnsi="Times"/>
          <w:sz w:val="20"/>
        </w:rPr>
        <w:t xml:space="preserve"> output limitations</w:t>
      </w:r>
      <w:r w:rsidRPr="00914E98">
        <w:rPr>
          <w:rFonts w:ascii="Times" w:hAnsi="Times"/>
          <w:sz w:val="20"/>
        </w:rPr>
        <w:t>.</w:t>
      </w:r>
    </w:p>
    <w:p w:rsidR="00616AC8" w:rsidRPr="00FD304A" w:rsidRDefault="00461A7D" w:rsidP="00F43F05">
      <w:pPr>
        <w:ind w:firstLine="284"/>
        <w:jc w:val="both"/>
        <w:rPr>
          <w:rFonts w:ascii="Times" w:hAnsi="Times"/>
          <w:sz w:val="20"/>
          <w:lang w:val="en-US"/>
        </w:rPr>
      </w:pPr>
      <w:r>
        <w:rPr>
          <w:rFonts w:ascii="Times" w:hAnsi="Times"/>
          <w:sz w:val="20"/>
        </w:rPr>
        <w:t>T</w:t>
      </w:r>
      <w:r w:rsidR="00616AC8" w:rsidRPr="00616AC8">
        <w:rPr>
          <w:rFonts w:ascii="Times" w:hAnsi="Times"/>
          <w:sz w:val="20"/>
        </w:rPr>
        <w:t>he U</w:t>
      </w:r>
      <w:r w:rsidR="000E17D0">
        <w:rPr>
          <w:rFonts w:ascii="Times" w:hAnsi="Times"/>
          <w:sz w:val="20"/>
        </w:rPr>
        <w:t>P</w:t>
      </w:r>
      <w:r w:rsidR="00616AC8" w:rsidRPr="00616AC8">
        <w:rPr>
          <w:rFonts w:ascii="Times" w:hAnsi="Times"/>
          <w:sz w:val="20"/>
        </w:rPr>
        <w:t>S of Russia was divided into reliability zones</w:t>
      </w:r>
      <w:r w:rsidRPr="00461A7D">
        <w:rPr>
          <w:rFonts w:ascii="Times" w:hAnsi="Times"/>
          <w:sz w:val="20"/>
        </w:rPr>
        <w:t xml:space="preserve"> as part of an </w:t>
      </w:r>
      <w:r>
        <w:rPr>
          <w:rFonts w:ascii="Times" w:hAnsi="Times"/>
          <w:sz w:val="20"/>
        </w:rPr>
        <w:t xml:space="preserve">adequacy </w:t>
      </w:r>
      <w:r w:rsidRPr="00461A7D">
        <w:rPr>
          <w:rFonts w:ascii="Times" w:hAnsi="Times"/>
          <w:sz w:val="20"/>
        </w:rPr>
        <w:t>assessment</w:t>
      </w:r>
      <w:r w:rsidR="00616AC8" w:rsidRPr="00616AC8">
        <w:rPr>
          <w:rFonts w:ascii="Times" w:hAnsi="Times"/>
          <w:sz w:val="20"/>
        </w:rPr>
        <w:t xml:space="preserve">. Each </w:t>
      </w:r>
      <w:r>
        <w:rPr>
          <w:rFonts w:ascii="Times" w:hAnsi="Times"/>
          <w:sz w:val="20"/>
        </w:rPr>
        <w:t>reliability</w:t>
      </w:r>
      <w:r w:rsidR="00616AC8" w:rsidRPr="00616AC8">
        <w:rPr>
          <w:rFonts w:ascii="Times" w:hAnsi="Times"/>
          <w:sz w:val="20"/>
        </w:rPr>
        <w:t xml:space="preserve"> zone was assigned an index and a conditional name. After </w:t>
      </w:r>
      <w:r w:rsidR="00FD304A">
        <w:rPr>
          <w:rFonts w:ascii="Times" w:hAnsi="Times"/>
          <w:sz w:val="20"/>
          <w:lang w:val="en-US"/>
        </w:rPr>
        <w:t xml:space="preserve">adequacy </w:t>
      </w:r>
      <w:r w:rsidR="00616AC8" w:rsidRPr="00616AC8">
        <w:rPr>
          <w:rFonts w:ascii="Times" w:hAnsi="Times"/>
          <w:sz w:val="20"/>
        </w:rPr>
        <w:t>assess</w:t>
      </w:r>
      <w:r w:rsidR="00FD304A">
        <w:rPr>
          <w:rFonts w:ascii="Times" w:hAnsi="Times"/>
          <w:sz w:val="20"/>
        </w:rPr>
        <w:t>ment</w:t>
      </w:r>
      <w:r w:rsidR="00616AC8" w:rsidRPr="00616AC8">
        <w:rPr>
          <w:rFonts w:ascii="Times" w:hAnsi="Times"/>
          <w:sz w:val="20"/>
        </w:rPr>
        <w:t xml:space="preserve"> of the initial variant of the U</w:t>
      </w:r>
      <w:r w:rsidR="000E17D0">
        <w:rPr>
          <w:rFonts w:ascii="Times" w:hAnsi="Times"/>
          <w:sz w:val="20"/>
        </w:rPr>
        <w:t>P</w:t>
      </w:r>
      <w:r w:rsidR="00616AC8" w:rsidRPr="00616AC8">
        <w:rPr>
          <w:rFonts w:ascii="Times" w:hAnsi="Times"/>
          <w:sz w:val="20"/>
        </w:rPr>
        <w:t>S of Russia development, it was determined that the probability of deficit-free operation in almost all 106 reliability zones turned out to be higher than the standard</w:t>
      </w:r>
      <w:r w:rsidR="00FD304A">
        <w:rPr>
          <w:rFonts w:ascii="Times" w:hAnsi="Times"/>
          <w:sz w:val="20"/>
        </w:rPr>
        <w:t xml:space="preserve"> level</w:t>
      </w:r>
      <w:r w:rsidR="00616AC8" w:rsidRPr="00616AC8">
        <w:rPr>
          <w:rFonts w:ascii="Times" w:hAnsi="Times"/>
          <w:sz w:val="20"/>
        </w:rPr>
        <w:t>, with the exception of:</w:t>
      </w:r>
    </w:p>
    <w:p w:rsidR="00616AC8" w:rsidRDefault="008010DF" w:rsidP="00F43F05">
      <w:pPr>
        <w:ind w:firstLine="284"/>
        <w:jc w:val="both"/>
        <w:rPr>
          <w:rFonts w:ascii="Times" w:hAnsi="Times"/>
          <w:sz w:val="20"/>
        </w:rPr>
      </w:pPr>
      <w:r w:rsidRPr="008010DF">
        <w:rPr>
          <w:rFonts w:ascii="Times" w:hAnsi="Times"/>
          <w:sz w:val="20"/>
        </w:rPr>
        <w:t>1. Reliability zone 8</w:t>
      </w:r>
      <w:r w:rsidR="00FD304A">
        <w:rPr>
          <w:rFonts w:ascii="Times" w:hAnsi="Times"/>
          <w:sz w:val="20"/>
          <w:lang w:val="en-US"/>
        </w:rPr>
        <w:t>NW</w:t>
      </w:r>
      <w:r w:rsidR="00D46C05">
        <w:rPr>
          <w:rFonts w:ascii="Times" w:hAnsi="Times"/>
          <w:sz w:val="20"/>
          <w:lang w:val="en-US"/>
        </w:rPr>
        <w:t xml:space="preserve"> (NW – Nord-West)</w:t>
      </w:r>
      <w:r w:rsidRPr="008010DF">
        <w:rPr>
          <w:rFonts w:ascii="Times" w:hAnsi="Times"/>
          <w:sz w:val="20"/>
        </w:rPr>
        <w:t xml:space="preserve">, covering the energy region in the North-West </w:t>
      </w:r>
      <w:r w:rsidR="00FD304A">
        <w:rPr>
          <w:rFonts w:ascii="Times" w:hAnsi="Times"/>
          <w:sz w:val="20"/>
          <w:lang w:val="en-US"/>
        </w:rPr>
        <w:t>IPS</w:t>
      </w:r>
      <w:r w:rsidRPr="008010DF">
        <w:rPr>
          <w:rFonts w:ascii="Times" w:hAnsi="Times"/>
          <w:sz w:val="20"/>
        </w:rPr>
        <w:t xml:space="preserve">. In fig. 1 shows the </w:t>
      </w:r>
      <w:r w:rsidR="00C21350">
        <w:rPr>
          <w:rFonts w:ascii="Times" w:hAnsi="Times"/>
          <w:sz w:val="20"/>
          <w:lang w:val="en-US"/>
        </w:rPr>
        <w:t>energy</w:t>
      </w:r>
      <w:r w:rsidRPr="008010DF">
        <w:rPr>
          <w:rFonts w:ascii="Times" w:hAnsi="Times"/>
          <w:sz w:val="20"/>
        </w:rPr>
        <w:t xml:space="preserve"> balance in the area of the 8</w:t>
      </w:r>
      <w:r w:rsidR="00C21350" w:rsidRPr="00C21350">
        <w:rPr>
          <w:rFonts w:ascii="Times" w:hAnsi="Times"/>
          <w:sz w:val="20"/>
          <w:lang w:val="en-US"/>
        </w:rPr>
        <w:t xml:space="preserve"> </w:t>
      </w:r>
      <w:r w:rsidR="00C21350">
        <w:rPr>
          <w:rFonts w:ascii="Times" w:hAnsi="Times"/>
          <w:sz w:val="20"/>
          <w:lang w:val="en-US"/>
        </w:rPr>
        <w:t>NW</w:t>
      </w:r>
      <w:r w:rsidRPr="008010DF">
        <w:rPr>
          <w:rFonts w:ascii="Times" w:hAnsi="Times"/>
          <w:sz w:val="20"/>
        </w:rPr>
        <w:t xml:space="preserve"> reliability zone. The probability of deficit-free work in this area was 0.9955.</w:t>
      </w:r>
    </w:p>
    <w:p w:rsidR="00543D98" w:rsidRPr="00EF1D2A" w:rsidRDefault="00543D98" w:rsidP="00F43F05">
      <w:pPr>
        <w:ind w:firstLine="284"/>
        <w:jc w:val="both"/>
        <w:rPr>
          <w:rFonts w:ascii="Times" w:hAnsi="Times"/>
          <w:sz w:val="20"/>
          <w:lang w:val="en-US"/>
        </w:rPr>
      </w:pPr>
    </w:p>
    <w:p w:rsidR="00C72152" w:rsidRDefault="00543D98" w:rsidP="00543D98">
      <w:pPr>
        <w:jc w:val="both"/>
        <w:rPr>
          <w:rFonts w:ascii="Times" w:hAnsi="Times"/>
          <w:sz w:val="20"/>
        </w:rPr>
      </w:pPr>
      <w:r>
        <w:rPr>
          <w:noProof/>
          <w:lang w:val="ru-RU" w:eastAsia="ru-RU"/>
        </w:rPr>
        <w:drawing>
          <wp:inline distT="0" distB="0" distL="0" distR="0" wp14:anchorId="74472163" wp14:editId="2E275A50">
            <wp:extent cx="2915285" cy="1569720"/>
            <wp:effectExtent l="19050" t="19050" r="18415" b="1143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15285" cy="1569720"/>
                    </a:xfrm>
                    <a:prstGeom prst="rect">
                      <a:avLst/>
                    </a:prstGeom>
                    <a:ln w="3175">
                      <a:solidFill>
                        <a:schemeClr val="tx1"/>
                      </a:solidFill>
                    </a:ln>
                  </pic:spPr>
                </pic:pic>
              </a:graphicData>
            </a:graphic>
          </wp:inline>
        </w:drawing>
      </w:r>
    </w:p>
    <w:p w:rsidR="00C72152" w:rsidRPr="00CA1091" w:rsidRDefault="00C72152" w:rsidP="00992FC2">
      <w:pPr>
        <w:tabs>
          <w:tab w:val="left" w:pos="340"/>
        </w:tabs>
        <w:spacing w:before="170"/>
        <w:rPr>
          <w:rFonts w:ascii="Times New Roman" w:hAnsi="Times New Roman"/>
          <w:sz w:val="20"/>
          <w:lang w:val="en-GB"/>
        </w:rPr>
      </w:pPr>
      <w:r w:rsidRPr="00CA1091">
        <w:rPr>
          <w:rFonts w:ascii="Times New Roman" w:hAnsi="Times New Roman"/>
          <w:b/>
          <w:sz w:val="18"/>
          <w:szCs w:val="18"/>
          <w:lang w:val="en-GB"/>
        </w:rPr>
        <w:t>Fig</w:t>
      </w:r>
      <w:r>
        <w:rPr>
          <w:rFonts w:ascii="Times New Roman" w:hAnsi="Times New Roman"/>
          <w:b/>
          <w:sz w:val="18"/>
          <w:szCs w:val="18"/>
          <w:lang w:val="en-GB"/>
        </w:rPr>
        <w:t>.</w:t>
      </w:r>
      <w:r w:rsidRPr="00CA1091">
        <w:rPr>
          <w:rFonts w:ascii="Times New Roman" w:hAnsi="Times New Roman"/>
          <w:b/>
          <w:sz w:val="18"/>
          <w:szCs w:val="18"/>
          <w:lang w:val="en-GB"/>
        </w:rPr>
        <w:t xml:space="preserve"> 1</w:t>
      </w:r>
      <w:r w:rsidRPr="00CA1091">
        <w:rPr>
          <w:rFonts w:ascii="Times New Roman" w:hAnsi="Times New Roman"/>
          <w:b/>
          <w:bCs/>
          <w:sz w:val="18"/>
          <w:szCs w:val="18"/>
          <w:lang w:val="en-GB"/>
        </w:rPr>
        <w:t>.</w:t>
      </w:r>
      <w:r w:rsidRPr="00CA1091">
        <w:rPr>
          <w:rFonts w:ascii="Times New Roman" w:hAnsi="Times New Roman"/>
          <w:sz w:val="18"/>
          <w:szCs w:val="18"/>
          <w:lang w:val="en-GB"/>
        </w:rPr>
        <w:t xml:space="preserve"> </w:t>
      </w:r>
      <w:r w:rsidR="00992FC2" w:rsidRPr="00992FC2">
        <w:rPr>
          <w:rFonts w:ascii="Times New Roman" w:hAnsi="Times New Roman"/>
          <w:sz w:val="18"/>
          <w:szCs w:val="18"/>
          <w:lang w:val="en-GB"/>
        </w:rPr>
        <w:t>Power balance of 8</w:t>
      </w:r>
      <w:r w:rsidR="00992FC2">
        <w:rPr>
          <w:rFonts w:ascii="Times New Roman" w:hAnsi="Times New Roman"/>
          <w:sz w:val="18"/>
          <w:szCs w:val="18"/>
          <w:lang w:val="en-US"/>
        </w:rPr>
        <w:t>NW</w:t>
      </w:r>
      <w:r w:rsidR="00992FC2" w:rsidRPr="00992FC2">
        <w:rPr>
          <w:rFonts w:ascii="Times New Roman" w:hAnsi="Times New Roman"/>
          <w:sz w:val="18"/>
          <w:szCs w:val="18"/>
          <w:lang w:val="en-GB"/>
        </w:rPr>
        <w:t xml:space="preserve"> and adjacent </w:t>
      </w:r>
      <w:r w:rsidR="00992FC2">
        <w:rPr>
          <w:rFonts w:ascii="Times New Roman" w:hAnsi="Times New Roman"/>
          <w:sz w:val="18"/>
          <w:szCs w:val="18"/>
          <w:lang w:val="en-GB"/>
        </w:rPr>
        <w:t>reliability</w:t>
      </w:r>
      <w:r w:rsidR="00992FC2" w:rsidRPr="00992FC2">
        <w:rPr>
          <w:rFonts w:ascii="Times New Roman" w:hAnsi="Times New Roman"/>
          <w:sz w:val="18"/>
          <w:szCs w:val="18"/>
          <w:lang w:val="en-GB"/>
        </w:rPr>
        <w:t xml:space="preserve"> zones.</w:t>
      </w:r>
      <w:r w:rsidR="00992FC2">
        <w:rPr>
          <w:rFonts w:ascii="Times New Roman" w:hAnsi="Times New Roman"/>
          <w:sz w:val="18"/>
          <w:szCs w:val="18"/>
          <w:lang w:val="en-GB"/>
        </w:rPr>
        <w:t xml:space="preserve"> </w:t>
      </w:r>
      <w:r w:rsidR="00992FC2" w:rsidRPr="00992FC2">
        <w:rPr>
          <w:rFonts w:ascii="Times New Roman" w:hAnsi="Times New Roman"/>
          <w:sz w:val="18"/>
          <w:szCs w:val="18"/>
          <w:lang w:val="en-GB"/>
        </w:rPr>
        <w:t>(X is the available power, Y is the power consumption)</w:t>
      </w:r>
      <w:r w:rsidR="00992FC2">
        <w:rPr>
          <w:rFonts w:ascii="Times New Roman" w:hAnsi="Times New Roman"/>
          <w:sz w:val="18"/>
          <w:szCs w:val="18"/>
          <w:lang w:val="en-GB"/>
        </w:rPr>
        <w:t>.</w:t>
      </w:r>
    </w:p>
    <w:p w:rsidR="00C72152" w:rsidRPr="00992FC2" w:rsidRDefault="00C72152" w:rsidP="00F43F05">
      <w:pPr>
        <w:ind w:firstLine="284"/>
        <w:jc w:val="both"/>
        <w:rPr>
          <w:rFonts w:ascii="Times" w:hAnsi="Times"/>
          <w:sz w:val="20"/>
          <w:lang w:val="en-GB"/>
        </w:rPr>
      </w:pPr>
    </w:p>
    <w:p w:rsidR="00D502FF" w:rsidRDefault="00D502FF" w:rsidP="00F43F05">
      <w:pPr>
        <w:ind w:firstLine="284"/>
        <w:jc w:val="both"/>
        <w:rPr>
          <w:rFonts w:ascii="Times" w:hAnsi="Times"/>
          <w:sz w:val="20"/>
        </w:rPr>
      </w:pPr>
      <w:r w:rsidRPr="00D502FF">
        <w:rPr>
          <w:rFonts w:ascii="Times" w:hAnsi="Times"/>
          <w:sz w:val="20"/>
        </w:rPr>
        <w:t>When analyzing the balance situation around the 8</w:t>
      </w:r>
      <w:r>
        <w:rPr>
          <w:rFonts w:ascii="Times" w:hAnsi="Times"/>
          <w:sz w:val="20"/>
          <w:lang w:val="en-US"/>
        </w:rPr>
        <w:t>NW</w:t>
      </w:r>
      <w:r w:rsidRPr="00D502FF">
        <w:rPr>
          <w:rFonts w:ascii="Times" w:hAnsi="Times"/>
          <w:sz w:val="20"/>
        </w:rPr>
        <w:t xml:space="preserve"> reliability zone, it was determined that the network capabilities of the controlled sections connecting the 8</w:t>
      </w:r>
      <w:r>
        <w:rPr>
          <w:rFonts w:ascii="Times" w:hAnsi="Times"/>
          <w:sz w:val="20"/>
        </w:rPr>
        <w:t>NW</w:t>
      </w:r>
      <w:r w:rsidRPr="00D502FF">
        <w:rPr>
          <w:rFonts w:ascii="Times" w:hAnsi="Times"/>
          <w:sz w:val="20"/>
        </w:rPr>
        <w:t xml:space="preserve"> with other reliability zones are sufficient to cover the power deficit in the 8</w:t>
      </w:r>
      <w:r>
        <w:rPr>
          <w:rFonts w:ascii="Times" w:hAnsi="Times"/>
          <w:sz w:val="20"/>
        </w:rPr>
        <w:t>NW</w:t>
      </w:r>
      <w:r w:rsidRPr="00D502FF">
        <w:rPr>
          <w:rFonts w:ascii="Times" w:hAnsi="Times"/>
          <w:sz w:val="20"/>
        </w:rPr>
        <w:t xml:space="preserve"> even in the event of a failure of one of the network elements affecting the maximum allowable flow</w:t>
      </w:r>
      <w:r w:rsidRPr="00D502FF">
        <w:rPr>
          <w:rFonts w:ascii="Times" w:hAnsi="Times"/>
          <w:sz w:val="20"/>
          <w:lang w:val="en-US"/>
        </w:rPr>
        <w:t xml:space="preserve"> (</w:t>
      </w:r>
      <w:r>
        <w:rPr>
          <w:rFonts w:ascii="Times" w:hAnsi="Times"/>
          <w:sz w:val="20"/>
          <w:lang w:val="en-US"/>
        </w:rPr>
        <w:t>MAF</w:t>
      </w:r>
      <w:r w:rsidRPr="00D502FF">
        <w:rPr>
          <w:rFonts w:ascii="Times" w:hAnsi="Times"/>
          <w:sz w:val="20"/>
          <w:lang w:val="en-US"/>
        </w:rPr>
        <w:t>)</w:t>
      </w:r>
      <w:r w:rsidRPr="00D502FF">
        <w:rPr>
          <w:rFonts w:ascii="Times" w:hAnsi="Times"/>
          <w:sz w:val="20"/>
        </w:rPr>
        <w:t xml:space="preserve"> of the controlled sections. However, the generating capacity capabilities of the </w:t>
      </w:r>
      <w:r w:rsidRPr="00D502FF">
        <w:rPr>
          <w:rFonts w:ascii="Times" w:hAnsi="Times"/>
          <w:sz w:val="20"/>
        </w:rPr>
        <w:t>reliability zones adjacent to the 8</w:t>
      </w:r>
      <w:r>
        <w:rPr>
          <w:rFonts w:ascii="Times" w:hAnsi="Times"/>
          <w:sz w:val="20"/>
        </w:rPr>
        <w:t>NW</w:t>
      </w:r>
      <w:r w:rsidRPr="00D502FF">
        <w:rPr>
          <w:rFonts w:ascii="Times" w:hAnsi="Times"/>
          <w:sz w:val="20"/>
        </w:rPr>
        <w:t xml:space="preserve"> are not sufficient to cover the capacity deficit in the 8</w:t>
      </w:r>
      <w:r>
        <w:rPr>
          <w:rFonts w:ascii="Times" w:hAnsi="Times"/>
          <w:sz w:val="20"/>
        </w:rPr>
        <w:t>NW</w:t>
      </w:r>
      <w:r w:rsidRPr="00D502FF">
        <w:rPr>
          <w:rFonts w:ascii="Times" w:hAnsi="Times"/>
          <w:sz w:val="20"/>
        </w:rPr>
        <w:t xml:space="preserve">. Thus, we can conclude that power shortages during the billing period with a high probability may arise due to the lack of generating capacities in the considered power region and the "weak" transit of power from the power system of the Leningrad </w:t>
      </w:r>
      <w:r w:rsidR="00FB624D">
        <w:rPr>
          <w:rFonts w:ascii="Times" w:hAnsi="Times"/>
          <w:sz w:val="20"/>
        </w:rPr>
        <w:t>oblast</w:t>
      </w:r>
      <w:r w:rsidRPr="00D502FF">
        <w:rPr>
          <w:rFonts w:ascii="Times" w:hAnsi="Times"/>
          <w:sz w:val="20"/>
        </w:rPr>
        <w:t>.</w:t>
      </w:r>
    </w:p>
    <w:p w:rsidR="00D502FF" w:rsidRDefault="0081670A" w:rsidP="0081670A">
      <w:pPr>
        <w:ind w:firstLine="284"/>
        <w:jc w:val="both"/>
        <w:rPr>
          <w:rFonts w:ascii="Times" w:hAnsi="Times"/>
          <w:sz w:val="20"/>
          <w:lang w:val="en-US"/>
        </w:rPr>
      </w:pPr>
      <w:r w:rsidRPr="0081670A">
        <w:rPr>
          <w:rFonts w:ascii="Times" w:hAnsi="Times"/>
          <w:sz w:val="20"/>
          <w:lang w:val="en-US"/>
        </w:rPr>
        <w:t>2. Reliability zone 4</w:t>
      </w:r>
      <w:r>
        <w:rPr>
          <w:rFonts w:ascii="Times" w:hAnsi="Times"/>
          <w:sz w:val="20"/>
          <w:lang w:val="en-US"/>
        </w:rPr>
        <w:t>S (</w:t>
      </w:r>
      <w:r w:rsidR="007A1551">
        <w:rPr>
          <w:rFonts w:ascii="Times" w:hAnsi="Times"/>
          <w:sz w:val="20"/>
          <w:lang w:val="en-US"/>
        </w:rPr>
        <w:t>S -</w:t>
      </w:r>
      <w:r>
        <w:rPr>
          <w:rFonts w:ascii="Times" w:hAnsi="Times"/>
          <w:sz w:val="20"/>
          <w:lang w:val="en-US"/>
        </w:rPr>
        <w:t xml:space="preserve"> South)</w:t>
      </w:r>
      <w:r w:rsidRPr="0081670A">
        <w:rPr>
          <w:rFonts w:ascii="Times" w:hAnsi="Times"/>
          <w:sz w:val="20"/>
          <w:lang w:val="en-US"/>
        </w:rPr>
        <w:t xml:space="preserve"> is part of the power system of the Rostov </w:t>
      </w:r>
      <w:r w:rsidR="00FB624D">
        <w:rPr>
          <w:rFonts w:ascii="Times" w:hAnsi="Times"/>
          <w:sz w:val="20"/>
          <w:lang w:val="en-US"/>
        </w:rPr>
        <w:t>oblast</w:t>
      </w:r>
      <w:r w:rsidRPr="0081670A">
        <w:rPr>
          <w:rFonts w:ascii="Times" w:hAnsi="Times"/>
          <w:sz w:val="20"/>
          <w:lang w:val="en-US"/>
        </w:rPr>
        <w:t xml:space="preserve">. The probability of a deficit-free operation of this reliability zone was 0.9968, which is lower than the accepted standard. In fig. 2 shows the </w:t>
      </w:r>
      <w:r>
        <w:rPr>
          <w:rFonts w:ascii="Times" w:hAnsi="Times"/>
          <w:sz w:val="20"/>
          <w:lang w:val="en-US"/>
        </w:rPr>
        <w:t>energy</w:t>
      </w:r>
      <w:r w:rsidRPr="0081670A">
        <w:rPr>
          <w:rFonts w:ascii="Times" w:hAnsi="Times"/>
          <w:sz w:val="20"/>
          <w:lang w:val="en-US"/>
        </w:rPr>
        <w:t xml:space="preserve"> balance in the 4th and in the adjacent </w:t>
      </w:r>
      <w:r>
        <w:rPr>
          <w:rFonts w:ascii="Times" w:hAnsi="Times"/>
          <w:sz w:val="20"/>
          <w:lang w:val="en-US"/>
        </w:rPr>
        <w:t>reliability</w:t>
      </w:r>
      <w:r w:rsidRPr="0081670A">
        <w:rPr>
          <w:rFonts w:ascii="Times" w:hAnsi="Times"/>
          <w:sz w:val="20"/>
          <w:lang w:val="en-US"/>
        </w:rPr>
        <w:t xml:space="preserve"> zones. The own maximum power consumption of the considered reliability zone is 2782.8 MW, and the value of the available capacity within the reliability zone is 640.1 MW, thus the own deficit of 4</w:t>
      </w:r>
      <w:r>
        <w:rPr>
          <w:rFonts w:ascii="Times" w:hAnsi="Times"/>
          <w:sz w:val="20"/>
          <w:lang w:val="en-US"/>
        </w:rPr>
        <w:t>S</w:t>
      </w:r>
      <w:r w:rsidRPr="0081670A">
        <w:rPr>
          <w:rFonts w:ascii="Times" w:hAnsi="Times"/>
          <w:sz w:val="20"/>
          <w:lang w:val="en-US"/>
        </w:rPr>
        <w:t xml:space="preserve"> is 2142.7 MW. The 4</w:t>
      </w:r>
      <w:r>
        <w:rPr>
          <w:rFonts w:ascii="Times" w:hAnsi="Times"/>
          <w:sz w:val="20"/>
          <w:lang w:val="en-US"/>
        </w:rPr>
        <w:t>S</w:t>
      </w:r>
      <w:r w:rsidRPr="0081670A">
        <w:rPr>
          <w:rFonts w:ascii="Times" w:hAnsi="Times"/>
          <w:sz w:val="20"/>
          <w:lang w:val="en-US"/>
        </w:rPr>
        <w:t xml:space="preserve"> reliability zone is connected to the 7</w:t>
      </w:r>
      <w:r>
        <w:rPr>
          <w:rFonts w:ascii="Times" w:hAnsi="Times"/>
          <w:sz w:val="20"/>
          <w:lang w:val="en-US"/>
        </w:rPr>
        <w:t>S</w:t>
      </w:r>
      <w:r w:rsidRPr="0081670A">
        <w:rPr>
          <w:rFonts w:ascii="Times" w:hAnsi="Times"/>
          <w:sz w:val="20"/>
          <w:lang w:val="en-US"/>
        </w:rPr>
        <w:t xml:space="preserve"> reliability zone by two 220 kV power lines and 500 kV power lines, which are included in several controlled sections;</w:t>
      </w:r>
      <w:r w:rsidR="006277E1" w:rsidRPr="006277E1">
        <w:rPr>
          <w:rFonts w:ascii="Times" w:hAnsi="Times"/>
          <w:sz w:val="20"/>
          <w:lang w:val="en-US"/>
        </w:rPr>
        <w:t xml:space="preserve"> </w:t>
      </w:r>
      <w:r w:rsidR="006277E1" w:rsidRPr="0081670A">
        <w:rPr>
          <w:rFonts w:ascii="Times" w:hAnsi="Times"/>
          <w:sz w:val="20"/>
          <w:lang w:val="en-US"/>
        </w:rPr>
        <w:t>to the</w:t>
      </w:r>
      <w:r w:rsidRPr="0081670A">
        <w:rPr>
          <w:rFonts w:ascii="Times" w:hAnsi="Times"/>
          <w:sz w:val="20"/>
          <w:lang w:val="en-US"/>
        </w:rPr>
        <w:t xml:space="preserve"> 5</w:t>
      </w:r>
      <w:r w:rsidR="006277E1">
        <w:rPr>
          <w:rFonts w:ascii="Times" w:hAnsi="Times"/>
          <w:sz w:val="20"/>
          <w:lang w:val="en-US"/>
        </w:rPr>
        <w:t>S</w:t>
      </w:r>
      <w:r w:rsidRPr="0081670A">
        <w:rPr>
          <w:rFonts w:ascii="Times" w:hAnsi="Times"/>
          <w:sz w:val="20"/>
          <w:lang w:val="en-US"/>
        </w:rPr>
        <w:t xml:space="preserve"> is connected </w:t>
      </w:r>
      <w:r w:rsidR="006277E1">
        <w:rPr>
          <w:rFonts w:ascii="Times" w:hAnsi="Times"/>
          <w:sz w:val="20"/>
          <w:lang w:val="en-US"/>
        </w:rPr>
        <w:t>by</w:t>
      </w:r>
      <w:r w:rsidRPr="0081670A">
        <w:rPr>
          <w:rFonts w:ascii="Times" w:hAnsi="Times"/>
          <w:sz w:val="20"/>
          <w:lang w:val="en-US"/>
        </w:rPr>
        <w:t xml:space="preserve"> 220 kV transmission line and two 500 kV transmission lines, also included in several </w:t>
      </w:r>
      <w:r w:rsidR="006277E1" w:rsidRPr="0081670A">
        <w:rPr>
          <w:rFonts w:ascii="Times" w:hAnsi="Times"/>
          <w:sz w:val="20"/>
          <w:lang w:val="en-US"/>
        </w:rPr>
        <w:t>controlled sections</w:t>
      </w:r>
      <w:r w:rsidRPr="0081670A">
        <w:rPr>
          <w:rFonts w:ascii="Times" w:hAnsi="Times"/>
          <w:sz w:val="20"/>
          <w:lang w:val="en-US"/>
        </w:rPr>
        <w:t xml:space="preserve">; </w:t>
      </w:r>
      <w:r w:rsidR="006277E1" w:rsidRPr="0081670A">
        <w:rPr>
          <w:rFonts w:ascii="Times" w:hAnsi="Times"/>
          <w:sz w:val="20"/>
          <w:lang w:val="en-US"/>
        </w:rPr>
        <w:t xml:space="preserve">to the </w:t>
      </w:r>
      <w:r w:rsidRPr="0081670A">
        <w:rPr>
          <w:rFonts w:ascii="Times" w:hAnsi="Times"/>
          <w:sz w:val="20"/>
          <w:lang w:val="en-US"/>
        </w:rPr>
        <w:t>1</w:t>
      </w:r>
      <w:r>
        <w:rPr>
          <w:rFonts w:ascii="Times" w:hAnsi="Times"/>
          <w:sz w:val="20"/>
          <w:lang w:val="en-US"/>
        </w:rPr>
        <w:t>S</w:t>
      </w:r>
      <w:r w:rsidR="006277E1">
        <w:rPr>
          <w:rFonts w:ascii="Times" w:hAnsi="Times"/>
          <w:sz w:val="20"/>
          <w:lang w:val="en-US"/>
        </w:rPr>
        <w:t xml:space="preserve"> by</w:t>
      </w:r>
      <w:r w:rsidRPr="0081670A">
        <w:rPr>
          <w:rFonts w:ascii="Times" w:hAnsi="Times"/>
          <w:sz w:val="20"/>
          <w:lang w:val="en-US"/>
        </w:rPr>
        <w:t xml:space="preserve"> 220 kV transmission lines and 500 kV transmission lines included in several </w:t>
      </w:r>
      <w:r w:rsidR="006277E1" w:rsidRPr="0081670A">
        <w:rPr>
          <w:rFonts w:ascii="Times" w:hAnsi="Times"/>
          <w:sz w:val="20"/>
          <w:lang w:val="en-US"/>
        </w:rPr>
        <w:t>controlled sections</w:t>
      </w:r>
      <w:r w:rsidRPr="0081670A">
        <w:rPr>
          <w:rFonts w:ascii="Times" w:hAnsi="Times"/>
          <w:sz w:val="20"/>
          <w:lang w:val="en-US"/>
        </w:rPr>
        <w:t>; with a reliability zone of 14</w:t>
      </w:r>
      <w:r>
        <w:rPr>
          <w:rFonts w:ascii="Times" w:hAnsi="Times"/>
          <w:sz w:val="20"/>
          <w:lang w:val="en-US"/>
        </w:rPr>
        <w:t>S</w:t>
      </w:r>
      <w:r w:rsidRPr="0081670A">
        <w:rPr>
          <w:rFonts w:ascii="Times" w:hAnsi="Times"/>
          <w:sz w:val="20"/>
          <w:lang w:val="en-US"/>
        </w:rPr>
        <w:t xml:space="preserve"> 500 kV transmission lines included in several </w:t>
      </w:r>
      <w:r w:rsidR="006277E1" w:rsidRPr="0081670A">
        <w:rPr>
          <w:rFonts w:ascii="Times" w:hAnsi="Times"/>
          <w:sz w:val="20"/>
          <w:lang w:val="en-US"/>
        </w:rPr>
        <w:t>controlled sections</w:t>
      </w:r>
      <w:r w:rsidRPr="0081670A">
        <w:rPr>
          <w:rFonts w:ascii="Times" w:hAnsi="Times"/>
          <w:sz w:val="20"/>
          <w:lang w:val="en-US"/>
        </w:rPr>
        <w:t>. Figure 2 shows the power balance of the 4</w:t>
      </w:r>
      <w:r w:rsidR="006277E1">
        <w:rPr>
          <w:rFonts w:ascii="Times" w:hAnsi="Times"/>
          <w:sz w:val="20"/>
          <w:lang w:val="en-US"/>
        </w:rPr>
        <w:t>S</w:t>
      </w:r>
      <w:r w:rsidRPr="0081670A">
        <w:rPr>
          <w:rFonts w:ascii="Times" w:hAnsi="Times"/>
          <w:sz w:val="20"/>
          <w:lang w:val="en-US"/>
        </w:rPr>
        <w:t xml:space="preserve"> and adjacent </w:t>
      </w:r>
      <w:r w:rsidR="006277E1">
        <w:rPr>
          <w:rFonts w:ascii="Times" w:hAnsi="Times"/>
          <w:sz w:val="20"/>
          <w:lang w:val="en-US"/>
        </w:rPr>
        <w:t>reliability</w:t>
      </w:r>
      <w:r w:rsidRPr="0081670A">
        <w:rPr>
          <w:rFonts w:ascii="Times" w:hAnsi="Times"/>
          <w:sz w:val="20"/>
          <w:lang w:val="en-US"/>
        </w:rPr>
        <w:t xml:space="preserve"> zones.</w:t>
      </w:r>
    </w:p>
    <w:p w:rsidR="00543D98" w:rsidRDefault="00543D98" w:rsidP="0081670A">
      <w:pPr>
        <w:ind w:firstLine="284"/>
        <w:jc w:val="both"/>
        <w:rPr>
          <w:rFonts w:ascii="Times" w:hAnsi="Times"/>
          <w:sz w:val="20"/>
          <w:lang w:val="en-US"/>
        </w:rPr>
      </w:pPr>
    </w:p>
    <w:p w:rsidR="00543D98" w:rsidRDefault="00543D98" w:rsidP="00543D98">
      <w:pPr>
        <w:jc w:val="both"/>
        <w:rPr>
          <w:rFonts w:ascii="Times" w:hAnsi="Times"/>
          <w:sz w:val="20"/>
          <w:lang w:val="en-US"/>
        </w:rPr>
      </w:pPr>
      <w:r>
        <w:rPr>
          <w:noProof/>
          <w:lang w:val="ru-RU" w:eastAsia="ru-RU"/>
        </w:rPr>
        <w:drawing>
          <wp:inline distT="0" distB="0" distL="0" distR="0" wp14:anchorId="6689CED2" wp14:editId="282C539B">
            <wp:extent cx="2915285" cy="1974850"/>
            <wp:effectExtent l="19050" t="19050" r="18415" b="2540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15285" cy="1974850"/>
                    </a:xfrm>
                    <a:prstGeom prst="rect">
                      <a:avLst/>
                    </a:prstGeom>
                    <a:ln w="3175">
                      <a:solidFill>
                        <a:schemeClr val="tx1"/>
                      </a:solidFill>
                    </a:ln>
                  </pic:spPr>
                </pic:pic>
              </a:graphicData>
            </a:graphic>
          </wp:inline>
        </w:drawing>
      </w:r>
    </w:p>
    <w:p w:rsidR="006277E1" w:rsidRPr="00CA1091" w:rsidRDefault="006277E1" w:rsidP="006277E1">
      <w:pPr>
        <w:tabs>
          <w:tab w:val="left" w:pos="340"/>
        </w:tabs>
        <w:spacing w:before="170"/>
        <w:rPr>
          <w:rFonts w:ascii="Times New Roman" w:hAnsi="Times New Roman"/>
          <w:sz w:val="20"/>
          <w:lang w:val="en-GB"/>
        </w:rPr>
      </w:pPr>
      <w:r w:rsidRPr="00CA1091">
        <w:rPr>
          <w:rFonts w:ascii="Times New Roman" w:hAnsi="Times New Roman"/>
          <w:b/>
          <w:sz w:val="18"/>
          <w:szCs w:val="18"/>
          <w:lang w:val="en-GB"/>
        </w:rPr>
        <w:t>Fig</w:t>
      </w:r>
      <w:r>
        <w:rPr>
          <w:rFonts w:ascii="Times New Roman" w:hAnsi="Times New Roman"/>
          <w:b/>
          <w:sz w:val="18"/>
          <w:szCs w:val="18"/>
          <w:lang w:val="en-GB"/>
        </w:rPr>
        <w:t>.</w:t>
      </w:r>
      <w:r w:rsidRPr="00CA1091">
        <w:rPr>
          <w:rFonts w:ascii="Times New Roman" w:hAnsi="Times New Roman"/>
          <w:b/>
          <w:sz w:val="18"/>
          <w:szCs w:val="18"/>
          <w:lang w:val="en-GB"/>
        </w:rPr>
        <w:t xml:space="preserve"> </w:t>
      </w:r>
      <w:r>
        <w:rPr>
          <w:rFonts w:ascii="Times New Roman" w:hAnsi="Times New Roman"/>
          <w:b/>
          <w:sz w:val="18"/>
          <w:szCs w:val="18"/>
          <w:lang w:val="en-GB"/>
        </w:rPr>
        <w:t>2</w:t>
      </w:r>
      <w:r w:rsidRPr="00CA1091">
        <w:rPr>
          <w:rFonts w:ascii="Times New Roman" w:hAnsi="Times New Roman"/>
          <w:b/>
          <w:bCs/>
          <w:sz w:val="18"/>
          <w:szCs w:val="18"/>
          <w:lang w:val="en-GB"/>
        </w:rPr>
        <w:t>.</w:t>
      </w:r>
      <w:r w:rsidRPr="00CA1091">
        <w:rPr>
          <w:rFonts w:ascii="Times New Roman" w:hAnsi="Times New Roman"/>
          <w:sz w:val="18"/>
          <w:szCs w:val="18"/>
          <w:lang w:val="en-GB"/>
        </w:rPr>
        <w:t xml:space="preserve"> </w:t>
      </w:r>
      <w:r w:rsidRPr="00992FC2">
        <w:rPr>
          <w:rFonts w:ascii="Times New Roman" w:hAnsi="Times New Roman"/>
          <w:sz w:val="18"/>
          <w:szCs w:val="18"/>
          <w:lang w:val="en-GB"/>
        </w:rPr>
        <w:t xml:space="preserve">Power balance of </w:t>
      </w:r>
      <w:r>
        <w:rPr>
          <w:rFonts w:ascii="Times New Roman" w:hAnsi="Times New Roman"/>
          <w:sz w:val="18"/>
          <w:szCs w:val="18"/>
          <w:lang w:val="en-GB"/>
        </w:rPr>
        <w:t>4S</w:t>
      </w:r>
      <w:r w:rsidRPr="00992FC2">
        <w:rPr>
          <w:rFonts w:ascii="Times New Roman" w:hAnsi="Times New Roman"/>
          <w:sz w:val="18"/>
          <w:szCs w:val="18"/>
          <w:lang w:val="en-GB"/>
        </w:rPr>
        <w:t xml:space="preserve"> and adjacent </w:t>
      </w:r>
      <w:r>
        <w:rPr>
          <w:rFonts w:ascii="Times New Roman" w:hAnsi="Times New Roman"/>
          <w:sz w:val="18"/>
          <w:szCs w:val="18"/>
          <w:lang w:val="en-GB"/>
        </w:rPr>
        <w:t>reliability</w:t>
      </w:r>
      <w:r w:rsidRPr="00992FC2">
        <w:rPr>
          <w:rFonts w:ascii="Times New Roman" w:hAnsi="Times New Roman"/>
          <w:sz w:val="18"/>
          <w:szCs w:val="18"/>
          <w:lang w:val="en-GB"/>
        </w:rPr>
        <w:t xml:space="preserve"> zones.</w:t>
      </w:r>
      <w:r>
        <w:rPr>
          <w:rFonts w:ascii="Times New Roman" w:hAnsi="Times New Roman"/>
          <w:sz w:val="18"/>
          <w:szCs w:val="18"/>
          <w:lang w:val="en-GB"/>
        </w:rPr>
        <w:t xml:space="preserve"> </w:t>
      </w:r>
    </w:p>
    <w:p w:rsidR="0081670A" w:rsidRPr="006277E1" w:rsidRDefault="0081670A" w:rsidP="00F43F05">
      <w:pPr>
        <w:ind w:firstLine="284"/>
        <w:jc w:val="both"/>
        <w:rPr>
          <w:rFonts w:ascii="Times" w:hAnsi="Times"/>
          <w:sz w:val="20"/>
          <w:lang w:val="en-GB"/>
        </w:rPr>
      </w:pPr>
    </w:p>
    <w:p w:rsidR="006277E1" w:rsidRDefault="007A1551" w:rsidP="00F43F05">
      <w:pPr>
        <w:ind w:firstLine="284"/>
        <w:jc w:val="both"/>
        <w:rPr>
          <w:rFonts w:ascii="Times" w:hAnsi="Times"/>
          <w:sz w:val="20"/>
        </w:rPr>
      </w:pPr>
      <w:r w:rsidRPr="007A1551">
        <w:rPr>
          <w:rFonts w:ascii="Times" w:hAnsi="Times"/>
          <w:sz w:val="20"/>
        </w:rPr>
        <w:t>When considering the balance situation of the 4</w:t>
      </w:r>
      <w:r>
        <w:rPr>
          <w:rFonts w:ascii="Times" w:hAnsi="Times"/>
          <w:sz w:val="20"/>
          <w:lang w:val="en-US"/>
        </w:rPr>
        <w:t>S</w:t>
      </w:r>
      <w:r w:rsidRPr="007A1551">
        <w:rPr>
          <w:rFonts w:ascii="Times" w:hAnsi="Times"/>
          <w:sz w:val="20"/>
        </w:rPr>
        <w:t xml:space="preserve"> reliability zone, we can conclude that the generating capacity of the neighboring reliability zones and the transmission capacity of the transmission lines connecting the 4</w:t>
      </w:r>
      <w:r>
        <w:rPr>
          <w:rFonts w:ascii="Times" w:hAnsi="Times"/>
          <w:sz w:val="20"/>
          <w:lang w:val="en-US"/>
        </w:rPr>
        <w:t>S</w:t>
      </w:r>
      <w:r w:rsidRPr="007A1551">
        <w:rPr>
          <w:rFonts w:ascii="Times" w:hAnsi="Times"/>
          <w:sz w:val="20"/>
        </w:rPr>
        <w:t xml:space="preserve"> with neighboring reliability zones should be sufficient to cover the power deficit in 4</w:t>
      </w:r>
      <w:r>
        <w:rPr>
          <w:rFonts w:ascii="Times" w:hAnsi="Times"/>
          <w:sz w:val="20"/>
          <w:lang w:val="en-US"/>
        </w:rPr>
        <w:t>S</w:t>
      </w:r>
      <w:r w:rsidRPr="007A1551">
        <w:rPr>
          <w:rFonts w:ascii="Times" w:hAnsi="Times"/>
          <w:sz w:val="20"/>
        </w:rPr>
        <w:t xml:space="preserve">. However, a number of </w:t>
      </w:r>
      <w:r>
        <w:rPr>
          <w:rFonts w:ascii="Times" w:hAnsi="Times"/>
          <w:sz w:val="20"/>
        </w:rPr>
        <w:t>reliability</w:t>
      </w:r>
      <w:r w:rsidRPr="007A1551">
        <w:rPr>
          <w:rFonts w:ascii="Times" w:hAnsi="Times"/>
          <w:sz w:val="20"/>
        </w:rPr>
        <w:t xml:space="preserve"> zones, including 6</w:t>
      </w:r>
      <w:r>
        <w:rPr>
          <w:rFonts w:ascii="Times" w:hAnsi="Times"/>
          <w:sz w:val="20"/>
          <w:lang w:val="en-US"/>
        </w:rPr>
        <w:t>S</w:t>
      </w:r>
      <w:r w:rsidRPr="007A1551">
        <w:rPr>
          <w:rFonts w:ascii="Times" w:hAnsi="Times"/>
          <w:sz w:val="20"/>
        </w:rPr>
        <w:t xml:space="preserve"> and 12</w:t>
      </w:r>
      <w:r>
        <w:rPr>
          <w:rFonts w:ascii="Times" w:hAnsi="Times"/>
          <w:sz w:val="20"/>
          <w:lang w:val="en-US"/>
        </w:rPr>
        <w:t>S</w:t>
      </w:r>
      <w:r w:rsidRPr="007A1551">
        <w:rPr>
          <w:rFonts w:ascii="Times" w:hAnsi="Times"/>
          <w:sz w:val="20"/>
        </w:rPr>
        <w:t xml:space="preserve"> connected to 7</w:t>
      </w:r>
      <w:r>
        <w:rPr>
          <w:rFonts w:ascii="Times" w:hAnsi="Times"/>
          <w:sz w:val="20"/>
          <w:lang w:val="en-US"/>
        </w:rPr>
        <w:t>S</w:t>
      </w:r>
      <w:r w:rsidRPr="007A1551">
        <w:rPr>
          <w:rFonts w:ascii="Times" w:hAnsi="Times"/>
          <w:sz w:val="20"/>
        </w:rPr>
        <w:t>, are also in short supply. The main donor zones for 4</w:t>
      </w:r>
      <w:r w:rsidR="00B42969">
        <w:rPr>
          <w:rFonts w:ascii="Times" w:hAnsi="Times"/>
          <w:sz w:val="20"/>
          <w:lang w:val="en-US"/>
        </w:rPr>
        <w:t>S</w:t>
      </w:r>
      <w:r w:rsidRPr="007A1551">
        <w:rPr>
          <w:rFonts w:ascii="Times" w:hAnsi="Times"/>
          <w:sz w:val="20"/>
        </w:rPr>
        <w:t xml:space="preserve"> are 1</w:t>
      </w:r>
      <w:r w:rsidR="00B42969">
        <w:rPr>
          <w:rFonts w:ascii="Times" w:hAnsi="Times"/>
          <w:sz w:val="20"/>
          <w:lang w:val="en-US"/>
        </w:rPr>
        <w:t>S</w:t>
      </w:r>
      <w:r w:rsidRPr="007A1551">
        <w:rPr>
          <w:rFonts w:ascii="Times" w:hAnsi="Times"/>
          <w:sz w:val="20"/>
        </w:rPr>
        <w:t xml:space="preserve"> and 5</w:t>
      </w:r>
      <w:r w:rsidR="00B42969">
        <w:rPr>
          <w:rFonts w:ascii="Times" w:hAnsi="Times"/>
          <w:sz w:val="20"/>
          <w:lang w:val="en-US"/>
        </w:rPr>
        <w:t>S</w:t>
      </w:r>
      <w:r w:rsidRPr="007A1551">
        <w:rPr>
          <w:rFonts w:ascii="Times" w:hAnsi="Times"/>
          <w:sz w:val="20"/>
        </w:rPr>
        <w:t>. The main controlled section limiting the transfer of power from 1</w:t>
      </w:r>
      <w:r w:rsidR="009263A5">
        <w:rPr>
          <w:rFonts w:ascii="Times" w:hAnsi="Times"/>
          <w:sz w:val="20"/>
        </w:rPr>
        <w:t>S</w:t>
      </w:r>
      <w:r w:rsidRPr="007A1551">
        <w:rPr>
          <w:rFonts w:ascii="Times" w:hAnsi="Times"/>
          <w:sz w:val="20"/>
        </w:rPr>
        <w:t xml:space="preserve"> and 5</w:t>
      </w:r>
      <w:r w:rsidR="009263A5">
        <w:rPr>
          <w:rFonts w:ascii="Times" w:hAnsi="Times"/>
          <w:sz w:val="20"/>
        </w:rPr>
        <w:t>S</w:t>
      </w:r>
      <w:r w:rsidRPr="007A1551">
        <w:rPr>
          <w:rFonts w:ascii="Times" w:hAnsi="Times"/>
          <w:sz w:val="20"/>
        </w:rPr>
        <w:t xml:space="preserve"> to 4</w:t>
      </w:r>
      <w:r w:rsidR="009263A5">
        <w:rPr>
          <w:rFonts w:ascii="Times" w:hAnsi="Times"/>
          <w:sz w:val="20"/>
        </w:rPr>
        <w:t>S</w:t>
      </w:r>
      <w:r w:rsidRPr="007A1551">
        <w:rPr>
          <w:rFonts w:ascii="Times" w:hAnsi="Times"/>
          <w:sz w:val="20"/>
        </w:rPr>
        <w:t xml:space="preserve"> is </w:t>
      </w:r>
      <w:r w:rsidR="0084416E">
        <w:rPr>
          <w:rFonts w:ascii="Times" w:hAnsi="Times"/>
          <w:sz w:val="20"/>
        </w:rPr>
        <w:t>S</w:t>
      </w:r>
      <w:r w:rsidRPr="007A1551">
        <w:rPr>
          <w:rFonts w:ascii="Times" w:hAnsi="Times"/>
          <w:sz w:val="20"/>
        </w:rPr>
        <w:t xml:space="preserve">-14. In the event of failure of one of the power lines of the section </w:t>
      </w:r>
      <w:r>
        <w:rPr>
          <w:rFonts w:ascii="Times" w:hAnsi="Times"/>
          <w:sz w:val="20"/>
        </w:rPr>
        <w:t>S</w:t>
      </w:r>
      <w:r w:rsidRPr="007A1551">
        <w:rPr>
          <w:rFonts w:ascii="Times" w:hAnsi="Times"/>
          <w:sz w:val="20"/>
        </w:rPr>
        <w:t xml:space="preserve">-14, the </w:t>
      </w:r>
      <w:r w:rsidR="009263A5">
        <w:rPr>
          <w:rFonts w:ascii="Times" w:hAnsi="Times"/>
          <w:sz w:val="20"/>
        </w:rPr>
        <w:t>MAF</w:t>
      </w:r>
      <w:r w:rsidRPr="007A1551">
        <w:rPr>
          <w:rFonts w:ascii="Times" w:hAnsi="Times"/>
          <w:sz w:val="20"/>
        </w:rPr>
        <w:t xml:space="preserve"> of the repair scheme </w:t>
      </w:r>
      <w:r w:rsidR="009263A5">
        <w:rPr>
          <w:rFonts w:ascii="Times" w:hAnsi="Times"/>
          <w:sz w:val="20"/>
        </w:rPr>
        <w:t>S</w:t>
      </w:r>
      <w:r w:rsidRPr="007A1551">
        <w:rPr>
          <w:rFonts w:ascii="Times" w:hAnsi="Times"/>
          <w:sz w:val="20"/>
        </w:rPr>
        <w:t>-14 becomes 1450 MW, instead of 2271 MW in the normal scheme, which with a high probability will lead to a power deficit of 4</w:t>
      </w:r>
      <w:r w:rsidR="009263A5">
        <w:rPr>
          <w:rFonts w:ascii="Times" w:hAnsi="Times"/>
          <w:sz w:val="20"/>
          <w:lang w:val="en-US"/>
        </w:rPr>
        <w:t>S</w:t>
      </w:r>
      <w:r w:rsidRPr="007A1551">
        <w:rPr>
          <w:rFonts w:ascii="Times" w:hAnsi="Times"/>
          <w:sz w:val="20"/>
        </w:rPr>
        <w:t xml:space="preserve"> during the hours of maximum power consumption. During the initial analytical analysis of the situation with the failure of the power transmission line, it can be </w:t>
      </w:r>
      <w:r w:rsidRPr="007A1551">
        <w:rPr>
          <w:rFonts w:ascii="Times" w:hAnsi="Times"/>
          <w:sz w:val="20"/>
        </w:rPr>
        <w:lastRenderedPageBreak/>
        <w:t>determined that the influence of this power transmission line on the probability of deficit-free operation in 4</w:t>
      </w:r>
      <w:r w:rsidR="009263A5">
        <w:rPr>
          <w:rFonts w:ascii="Times" w:hAnsi="Times"/>
          <w:sz w:val="20"/>
        </w:rPr>
        <w:t>S</w:t>
      </w:r>
      <w:r w:rsidRPr="007A1551">
        <w:rPr>
          <w:rFonts w:ascii="Times" w:hAnsi="Times"/>
          <w:sz w:val="20"/>
        </w:rPr>
        <w:t xml:space="preserve"> will be 1</w:t>
      </w:r>
      <w:r w:rsidR="009263A5">
        <w:rPr>
          <w:rFonts w:ascii="Times" w:hAnsi="Times"/>
          <w:sz w:val="20"/>
        </w:rPr>
        <w:t xml:space="preserve"> </w:t>
      </w:r>
      <w:r w:rsidRPr="007A1551">
        <w:rPr>
          <w:rFonts w:ascii="Times" w:hAnsi="Times"/>
          <w:sz w:val="20"/>
        </w:rPr>
        <w:t>-</w:t>
      </w:r>
      <w:r w:rsidR="009263A5">
        <w:rPr>
          <w:rFonts w:ascii="Times" w:hAnsi="Times"/>
          <w:sz w:val="20"/>
        </w:rPr>
        <w:t xml:space="preserve"> </w:t>
      </w:r>
      <w:r w:rsidRPr="007A1551">
        <w:rPr>
          <w:rFonts w:ascii="Times" w:hAnsi="Times"/>
          <w:sz w:val="20"/>
        </w:rPr>
        <w:t xml:space="preserve">0.00324 = 0.9968, which coincides with the probability of deficiency-free operation, determined when </w:t>
      </w:r>
      <w:r w:rsidR="009263A5">
        <w:rPr>
          <w:rFonts w:ascii="Times" w:hAnsi="Times"/>
          <w:sz w:val="20"/>
        </w:rPr>
        <w:t>adequacy assessment</w:t>
      </w:r>
      <w:r w:rsidRPr="007A1551">
        <w:rPr>
          <w:rFonts w:ascii="Times" w:hAnsi="Times"/>
          <w:sz w:val="20"/>
        </w:rPr>
        <w:t xml:space="preserve">. Thus, in the course of </w:t>
      </w:r>
      <w:r w:rsidR="009263A5">
        <w:rPr>
          <w:rFonts w:ascii="Times" w:hAnsi="Times"/>
          <w:sz w:val="20"/>
        </w:rPr>
        <w:t>adequacy assessment</w:t>
      </w:r>
      <w:r w:rsidRPr="007A1551">
        <w:rPr>
          <w:rFonts w:ascii="Times" w:hAnsi="Times"/>
          <w:sz w:val="20"/>
        </w:rPr>
        <w:t xml:space="preserve"> of the UES of Russia in a number of considered design states in the 4</w:t>
      </w:r>
      <w:r w:rsidR="009263A5">
        <w:rPr>
          <w:rFonts w:ascii="Times" w:hAnsi="Times"/>
          <w:sz w:val="20"/>
        </w:rPr>
        <w:t>S</w:t>
      </w:r>
      <w:r w:rsidRPr="007A1551">
        <w:rPr>
          <w:rFonts w:ascii="Times" w:hAnsi="Times"/>
          <w:sz w:val="20"/>
        </w:rPr>
        <w:t xml:space="preserve"> reliability zone, </w:t>
      </w:r>
      <w:r w:rsidR="009263A5">
        <w:rPr>
          <w:rFonts w:ascii="Times" w:hAnsi="Times"/>
          <w:sz w:val="20"/>
        </w:rPr>
        <w:t>power shortages</w:t>
      </w:r>
      <w:r w:rsidRPr="007A1551">
        <w:rPr>
          <w:rFonts w:ascii="Times" w:hAnsi="Times"/>
          <w:sz w:val="20"/>
        </w:rPr>
        <w:t xml:space="preserve"> were determined.</w:t>
      </w:r>
    </w:p>
    <w:p w:rsidR="009263A5" w:rsidRDefault="00D46C05" w:rsidP="00F43F05">
      <w:pPr>
        <w:ind w:firstLine="284"/>
        <w:jc w:val="both"/>
        <w:rPr>
          <w:rFonts w:ascii="Times" w:hAnsi="Times"/>
          <w:sz w:val="20"/>
        </w:rPr>
      </w:pPr>
      <w:r w:rsidRPr="00D46C05">
        <w:rPr>
          <w:rFonts w:ascii="Times" w:hAnsi="Times"/>
          <w:sz w:val="20"/>
        </w:rPr>
        <w:t>3. Reliability zone 1U (U</w:t>
      </w:r>
      <w:r w:rsidRPr="00D46C05">
        <w:rPr>
          <w:rFonts w:ascii="Times" w:hAnsi="Times"/>
          <w:sz w:val="20"/>
          <w:lang w:val="en-US"/>
        </w:rPr>
        <w:t xml:space="preserve"> - </w:t>
      </w:r>
      <w:r>
        <w:rPr>
          <w:rFonts w:ascii="Times" w:hAnsi="Times"/>
          <w:sz w:val="20"/>
          <w:lang w:val="en-US"/>
        </w:rPr>
        <w:t>Ural</w:t>
      </w:r>
      <w:r w:rsidRPr="00D46C05">
        <w:rPr>
          <w:rFonts w:ascii="Times" w:hAnsi="Times"/>
          <w:sz w:val="20"/>
        </w:rPr>
        <w:t>) includes a part of the power system of the Yamalo-Nenets Autonomous Okrug with the capture of a part of the Vankor power region of the Krasnoyarsk Krai. The probability of deficit-free work in the 1U reliability zone turned out to be 0.9989, which is slightly lower than the accepted standard. The own maximum power consumption of the 1U reliability zone is 945.9 MW, the available capacity is 1019.8 MW. 1U has a surplus of its own generating capacity, which is equal to 73.9 MW. The 1U reliability zone is connected only with the 2U reliability zone with a controlled section U-33, which includes three 220 kV power lines, the M</w:t>
      </w:r>
      <w:r>
        <w:rPr>
          <w:rFonts w:ascii="Times" w:hAnsi="Times"/>
          <w:sz w:val="20"/>
        </w:rPr>
        <w:t>AF</w:t>
      </w:r>
      <w:r w:rsidRPr="00D46C05">
        <w:rPr>
          <w:rFonts w:ascii="Times" w:hAnsi="Times"/>
          <w:sz w:val="20"/>
        </w:rPr>
        <w:t xml:space="preserve"> of the normal U-33 circuit in the 1U direction is 48 MW. In fig. 3 shows the balance of power 1U and the adjacent </w:t>
      </w:r>
      <w:r w:rsidR="00DF7B81">
        <w:rPr>
          <w:rFonts w:ascii="Times" w:hAnsi="Times"/>
          <w:sz w:val="20"/>
          <w:lang w:val="en-US"/>
        </w:rPr>
        <w:t>reliability</w:t>
      </w:r>
      <w:r w:rsidRPr="00D46C05">
        <w:rPr>
          <w:rFonts w:ascii="Times" w:hAnsi="Times"/>
          <w:sz w:val="20"/>
        </w:rPr>
        <w:t xml:space="preserve"> zone.</w:t>
      </w:r>
    </w:p>
    <w:p w:rsidR="00543D98" w:rsidRDefault="00543D98" w:rsidP="00F43F05">
      <w:pPr>
        <w:ind w:firstLine="284"/>
        <w:jc w:val="both"/>
        <w:rPr>
          <w:rFonts w:ascii="Times" w:hAnsi="Times"/>
          <w:sz w:val="20"/>
        </w:rPr>
      </w:pPr>
    </w:p>
    <w:p w:rsidR="00543D98" w:rsidRDefault="00543D98" w:rsidP="00543D98">
      <w:pPr>
        <w:jc w:val="center"/>
        <w:rPr>
          <w:rFonts w:ascii="Times" w:hAnsi="Times"/>
          <w:sz w:val="20"/>
        </w:rPr>
      </w:pPr>
      <w:r>
        <w:rPr>
          <w:noProof/>
          <w:lang w:val="ru-RU" w:eastAsia="ru-RU"/>
        </w:rPr>
        <w:drawing>
          <wp:inline distT="0" distB="0" distL="0" distR="0" wp14:anchorId="36D5DCD0" wp14:editId="28CBAE99">
            <wp:extent cx="2532185" cy="1143372"/>
            <wp:effectExtent l="19050" t="19050" r="20955" b="190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49407" cy="1151149"/>
                    </a:xfrm>
                    <a:prstGeom prst="rect">
                      <a:avLst/>
                    </a:prstGeom>
                    <a:ln w="3175">
                      <a:solidFill>
                        <a:schemeClr val="tx1"/>
                      </a:solidFill>
                    </a:ln>
                  </pic:spPr>
                </pic:pic>
              </a:graphicData>
            </a:graphic>
          </wp:inline>
        </w:drawing>
      </w:r>
    </w:p>
    <w:p w:rsidR="000D4C30" w:rsidRPr="00CA1091" w:rsidRDefault="000D4C30" w:rsidP="000D4C30">
      <w:pPr>
        <w:tabs>
          <w:tab w:val="left" w:pos="340"/>
        </w:tabs>
        <w:spacing w:before="170"/>
        <w:rPr>
          <w:rFonts w:ascii="Times New Roman" w:hAnsi="Times New Roman"/>
          <w:sz w:val="20"/>
          <w:lang w:val="en-GB"/>
        </w:rPr>
      </w:pPr>
      <w:r w:rsidRPr="00CA1091">
        <w:rPr>
          <w:rFonts w:ascii="Times New Roman" w:hAnsi="Times New Roman"/>
          <w:b/>
          <w:sz w:val="18"/>
          <w:szCs w:val="18"/>
          <w:lang w:val="en-GB"/>
        </w:rPr>
        <w:t>Fig</w:t>
      </w:r>
      <w:r>
        <w:rPr>
          <w:rFonts w:ascii="Times New Roman" w:hAnsi="Times New Roman"/>
          <w:b/>
          <w:sz w:val="18"/>
          <w:szCs w:val="18"/>
          <w:lang w:val="en-GB"/>
        </w:rPr>
        <w:t>.</w:t>
      </w:r>
      <w:r w:rsidRPr="00CA1091">
        <w:rPr>
          <w:rFonts w:ascii="Times New Roman" w:hAnsi="Times New Roman"/>
          <w:b/>
          <w:sz w:val="18"/>
          <w:szCs w:val="18"/>
          <w:lang w:val="en-GB"/>
        </w:rPr>
        <w:t xml:space="preserve"> </w:t>
      </w:r>
      <w:r w:rsidRPr="000D4C30">
        <w:rPr>
          <w:rFonts w:ascii="Times New Roman" w:hAnsi="Times New Roman"/>
          <w:b/>
          <w:sz w:val="18"/>
          <w:szCs w:val="18"/>
          <w:lang w:val="en-US"/>
        </w:rPr>
        <w:t>3</w:t>
      </w:r>
      <w:r w:rsidRPr="00CA1091">
        <w:rPr>
          <w:rFonts w:ascii="Times New Roman" w:hAnsi="Times New Roman"/>
          <w:b/>
          <w:bCs/>
          <w:sz w:val="18"/>
          <w:szCs w:val="18"/>
          <w:lang w:val="en-GB"/>
        </w:rPr>
        <w:t>.</w:t>
      </w:r>
      <w:r w:rsidRPr="00CA1091">
        <w:rPr>
          <w:rFonts w:ascii="Times New Roman" w:hAnsi="Times New Roman"/>
          <w:sz w:val="18"/>
          <w:szCs w:val="18"/>
          <w:lang w:val="en-GB"/>
        </w:rPr>
        <w:t xml:space="preserve"> </w:t>
      </w:r>
      <w:r w:rsidRPr="00992FC2">
        <w:rPr>
          <w:rFonts w:ascii="Times New Roman" w:hAnsi="Times New Roman"/>
          <w:sz w:val="18"/>
          <w:szCs w:val="18"/>
          <w:lang w:val="en-GB"/>
        </w:rPr>
        <w:t xml:space="preserve">Power balance of </w:t>
      </w:r>
      <w:r w:rsidRPr="000D4C30">
        <w:rPr>
          <w:rFonts w:ascii="Times New Roman" w:hAnsi="Times New Roman"/>
          <w:sz w:val="18"/>
          <w:szCs w:val="18"/>
          <w:lang w:val="en-US"/>
        </w:rPr>
        <w:t>1</w:t>
      </w:r>
      <w:r>
        <w:rPr>
          <w:rFonts w:ascii="Times New Roman" w:hAnsi="Times New Roman"/>
          <w:sz w:val="18"/>
          <w:szCs w:val="18"/>
          <w:lang w:val="en-US"/>
        </w:rPr>
        <w:t>U</w:t>
      </w:r>
      <w:r w:rsidRPr="00992FC2">
        <w:rPr>
          <w:rFonts w:ascii="Times New Roman" w:hAnsi="Times New Roman"/>
          <w:sz w:val="18"/>
          <w:szCs w:val="18"/>
          <w:lang w:val="en-GB"/>
        </w:rPr>
        <w:t xml:space="preserve"> and adjacent </w:t>
      </w:r>
      <w:r>
        <w:rPr>
          <w:rFonts w:ascii="Times New Roman" w:hAnsi="Times New Roman"/>
          <w:sz w:val="18"/>
          <w:szCs w:val="18"/>
          <w:lang w:val="en-GB"/>
        </w:rPr>
        <w:t>reliability</w:t>
      </w:r>
      <w:r w:rsidRPr="00992FC2">
        <w:rPr>
          <w:rFonts w:ascii="Times New Roman" w:hAnsi="Times New Roman"/>
          <w:sz w:val="18"/>
          <w:szCs w:val="18"/>
          <w:lang w:val="en-GB"/>
        </w:rPr>
        <w:t xml:space="preserve"> zone.</w:t>
      </w:r>
      <w:r>
        <w:rPr>
          <w:rFonts w:ascii="Times New Roman" w:hAnsi="Times New Roman"/>
          <w:sz w:val="18"/>
          <w:szCs w:val="18"/>
          <w:lang w:val="en-GB"/>
        </w:rPr>
        <w:t xml:space="preserve"> </w:t>
      </w:r>
    </w:p>
    <w:p w:rsidR="009263A5" w:rsidRPr="000D4C30" w:rsidRDefault="009263A5" w:rsidP="00F43F05">
      <w:pPr>
        <w:ind w:firstLine="284"/>
        <w:jc w:val="both"/>
        <w:rPr>
          <w:rFonts w:ascii="Times" w:hAnsi="Times"/>
          <w:sz w:val="20"/>
          <w:lang w:val="en-GB"/>
        </w:rPr>
      </w:pPr>
    </w:p>
    <w:p w:rsidR="000D4C30" w:rsidRDefault="00CF56A1" w:rsidP="00F43F05">
      <w:pPr>
        <w:ind w:firstLine="284"/>
        <w:jc w:val="both"/>
        <w:rPr>
          <w:rFonts w:ascii="Times" w:hAnsi="Times"/>
          <w:sz w:val="20"/>
          <w:lang w:val="en-US"/>
        </w:rPr>
      </w:pPr>
      <w:r w:rsidRPr="00CF56A1">
        <w:rPr>
          <w:rFonts w:ascii="Times" w:hAnsi="Times"/>
          <w:sz w:val="20"/>
          <w:lang w:val="en-US"/>
        </w:rPr>
        <w:t xml:space="preserve">Since the reliability zone 2U and the subsequent 3U are in short supply, the transfer of power to compensate for a possible power deficit in 1U is unlikely. </w:t>
      </w:r>
      <w:r>
        <w:rPr>
          <w:rFonts w:ascii="Times" w:hAnsi="Times"/>
          <w:sz w:val="20"/>
          <w:lang w:val="en-US"/>
        </w:rPr>
        <w:t>MAF</w:t>
      </w:r>
      <w:r w:rsidRPr="00CF56A1">
        <w:rPr>
          <w:rFonts w:ascii="Times" w:hAnsi="Times"/>
          <w:sz w:val="20"/>
          <w:lang w:val="en-US"/>
        </w:rPr>
        <w:t xml:space="preserve"> of the controlled section U-33 is low, and in repair schemes it is equal to zero, which can also prevent compensation of the power deficit in 1U. In 1U at Urengoyskaya </w:t>
      </w:r>
      <w:r w:rsidR="000918C1">
        <w:rPr>
          <w:rFonts w:ascii="Times" w:hAnsi="Times"/>
          <w:sz w:val="20"/>
          <w:lang w:val="en-US"/>
        </w:rPr>
        <w:t>power station</w:t>
      </w:r>
      <w:r w:rsidRPr="00CF56A1">
        <w:rPr>
          <w:rFonts w:ascii="Times" w:hAnsi="Times"/>
          <w:sz w:val="20"/>
          <w:lang w:val="en-US"/>
        </w:rPr>
        <w:t xml:space="preserve"> there are three large generating units, the capacity of each is more than 150 MW, and the accident rate</w:t>
      </w:r>
      <w:r w:rsidR="000918C1">
        <w:rPr>
          <w:rFonts w:ascii="Times" w:hAnsi="Times"/>
          <w:sz w:val="20"/>
          <w:lang w:val="en-US"/>
        </w:rPr>
        <w:t>s</w:t>
      </w:r>
      <w:r w:rsidRPr="00CF56A1">
        <w:rPr>
          <w:rFonts w:ascii="Times" w:hAnsi="Times"/>
          <w:sz w:val="20"/>
          <w:lang w:val="en-US"/>
        </w:rPr>
        <w:t xml:space="preserve"> </w:t>
      </w:r>
      <w:r w:rsidR="000918C1">
        <w:rPr>
          <w:rFonts w:ascii="Times" w:hAnsi="Times"/>
          <w:sz w:val="20"/>
          <w:lang w:val="en-US"/>
        </w:rPr>
        <w:t>are</w:t>
      </w:r>
      <w:r w:rsidRPr="00CF56A1">
        <w:rPr>
          <w:rFonts w:ascii="Times" w:hAnsi="Times"/>
          <w:sz w:val="20"/>
          <w:lang w:val="en-US"/>
        </w:rPr>
        <w:t xml:space="preserve"> 0.00925, 0.00007 and 0.00030. The failure of each of the generating units leads to the failure of the entire station, thus the integral probability of failure of a system of three generating units is 0.00962, and, accordingly, the probability of deficiency-free operation in the 1U reliability zone during the period of maximum power consumption can be defined as 1- 0.00962 = 0.99040, which led to the values ​​of reliability indicators below the standard level.</w:t>
      </w:r>
    </w:p>
    <w:p w:rsidR="000918C1" w:rsidRDefault="000918C1" w:rsidP="00F43F05">
      <w:pPr>
        <w:ind w:firstLine="284"/>
        <w:jc w:val="both"/>
        <w:rPr>
          <w:rFonts w:ascii="Times" w:hAnsi="Times"/>
          <w:sz w:val="20"/>
          <w:lang w:val="en-US"/>
        </w:rPr>
      </w:pPr>
      <w:r w:rsidRPr="000918C1">
        <w:rPr>
          <w:rFonts w:ascii="Times" w:hAnsi="Times"/>
          <w:sz w:val="20"/>
          <w:lang w:val="en-US"/>
        </w:rPr>
        <w:t>4. Reliability zone 9</w:t>
      </w:r>
      <w:r w:rsidR="00FB624D">
        <w:rPr>
          <w:rFonts w:ascii="Times" w:hAnsi="Times"/>
          <w:sz w:val="20"/>
          <w:lang w:val="en-US"/>
        </w:rPr>
        <w:t>E</w:t>
      </w:r>
      <w:r w:rsidRPr="000918C1">
        <w:rPr>
          <w:rFonts w:ascii="Times" w:hAnsi="Times"/>
          <w:sz w:val="20"/>
          <w:lang w:val="en-US"/>
        </w:rPr>
        <w:t xml:space="preserve"> (</w:t>
      </w:r>
      <w:r w:rsidR="00FB624D">
        <w:rPr>
          <w:rFonts w:ascii="Times" w:hAnsi="Times"/>
          <w:sz w:val="20"/>
          <w:lang w:val="en-US"/>
        </w:rPr>
        <w:t>E - East</w:t>
      </w:r>
      <w:r w:rsidRPr="000918C1">
        <w:rPr>
          <w:rFonts w:ascii="Times" w:hAnsi="Times"/>
          <w:sz w:val="20"/>
          <w:lang w:val="en-US"/>
        </w:rPr>
        <w:t xml:space="preserve">) includes a part of the power system of the </w:t>
      </w:r>
      <w:r w:rsidR="00FB624D" w:rsidRPr="00FB624D">
        <w:rPr>
          <w:rFonts w:ascii="Times" w:hAnsi="Times"/>
          <w:sz w:val="20"/>
          <w:lang w:val="en-US"/>
        </w:rPr>
        <w:t>Amur Oblast</w:t>
      </w:r>
      <w:r w:rsidRPr="000918C1">
        <w:rPr>
          <w:rFonts w:ascii="Times" w:hAnsi="Times"/>
          <w:sz w:val="20"/>
          <w:lang w:val="en-US"/>
        </w:rPr>
        <w:t xml:space="preserve"> and a part of the power system of the </w:t>
      </w:r>
      <w:r w:rsidR="00FB624D" w:rsidRPr="00FB624D">
        <w:rPr>
          <w:rFonts w:ascii="Times" w:hAnsi="Times"/>
          <w:sz w:val="20"/>
          <w:lang w:val="en-US"/>
        </w:rPr>
        <w:t xml:space="preserve">Zabaykalsky </w:t>
      </w:r>
      <w:r w:rsidR="00EF1D2A">
        <w:rPr>
          <w:rFonts w:ascii="Times" w:hAnsi="Times"/>
          <w:sz w:val="20"/>
          <w:lang w:val="en-US"/>
        </w:rPr>
        <w:t>k</w:t>
      </w:r>
      <w:r w:rsidR="00FB624D" w:rsidRPr="00FB624D">
        <w:rPr>
          <w:rFonts w:ascii="Times" w:hAnsi="Times"/>
          <w:sz w:val="20"/>
          <w:lang w:val="en-US"/>
        </w:rPr>
        <w:t>rai</w:t>
      </w:r>
      <w:r w:rsidRPr="000918C1">
        <w:rPr>
          <w:rFonts w:ascii="Times" w:hAnsi="Times"/>
          <w:sz w:val="20"/>
          <w:lang w:val="en-US"/>
        </w:rPr>
        <w:t>. The probability of deficiency-free operation in the 9</w:t>
      </w:r>
      <w:r w:rsidR="00B01B51">
        <w:rPr>
          <w:rFonts w:ascii="Times" w:hAnsi="Times"/>
          <w:sz w:val="20"/>
          <w:lang w:val="en-US"/>
        </w:rPr>
        <w:t>E</w:t>
      </w:r>
      <w:r w:rsidRPr="000918C1">
        <w:rPr>
          <w:rFonts w:ascii="Times" w:hAnsi="Times"/>
          <w:sz w:val="20"/>
          <w:lang w:val="en-US"/>
        </w:rPr>
        <w:t xml:space="preserve"> reliability zone turned out to be 0.9987, which is slightly lower than the accepted standard. The 9</w:t>
      </w:r>
      <w:r w:rsidR="00B01B51">
        <w:rPr>
          <w:rFonts w:ascii="Times" w:hAnsi="Times"/>
          <w:sz w:val="20"/>
          <w:lang w:val="en-US"/>
        </w:rPr>
        <w:t>E</w:t>
      </w:r>
      <w:r w:rsidRPr="000918C1">
        <w:rPr>
          <w:rFonts w:ascii="Times" w:hAnsi="Times"/>
          <w:sz w:val="20"/>
          <w:lang w:val="en-US"/>
        </w:rPr>
        <w:t xml:space="preserve"> reliability zone does not have its own generation, its own maximum power consumption is 92.3 MW. When carrying out the calculations, it was assumed that the power lines on the western side are constantly open. On the east side, 9</w:t>
      </w:r>
      <w:r w:rsidR="00B01B51">
        <w:rPr>
          <w:rFonts w:ascii="Times" w:hAnsi="Times"/>
          <w:sz w:val="20"/>
          <w:lang w:val="en-US"/>
        </w:rPr>
        <w:t>E</w:t>
      </w:r>
      <w:r w:rsidRPr="000918C1">
        <w:rPr>
          <w:rFonts w:ascii="Times" w:hAnsi="Times"/>
          <w:sz w:val="20"/>
          <w:lang w:val="en-US"/>
        </w:rPr>
        <w:t xml:space="preserve"> is connected to 8</w:t>
      </w:r>
      <w:r w:rsidR="00B01B51">
        <w:rPr>
          <w:rFonts w:ascii="Times" w:hAnsi="Times"/>
          <w:sz w:val="20"/>
          <w:lang w:val="en-US"/>
        </w:rPr>
        <w:t>E</w:t>
      </w:r>
      <w:r w:rsidRPr="000918C1">
        <w:rPr>
          <w:rFonts w:ascii="Times" w:hAnsi="Times"/>
          <w:sz w:val="20"/>
          <w:lang w:val="en-US"/>
        </w:rPr>
        <w:t xml:space="preserve"> by two 220 </w:t>
      </w:r>
      <w:r w:rsidRPr="000918C1">
        <w:rPr>
          <w:rFonts w:ascii="Times" w:hAnsi="Times"/>
          <w:sz w:val="20"/>
          <w:lang w:val="en-US"/>
        </w:rPr>
        <w:t xml:space="preserve">kV transmission lines, which are included in the controlled section </w:t>
      </w:r>
      <w:r w:rsidR="00B01B51">
        <w:rPr>
          <w:rFonts w:ascii="Times" w:hAnsi="Times"/>
          <w:sz w:val="20"/>
          <w:lang w:val="en-US"/>
        </w:rPr>
        <w:t>E</w:t>
      </w:r>
      <w:r w:rsidRPr="000918C1">
        <w:rPr>
          <w:rFonts w:ascii="Times" w:hAnsi="Times"/>
          <w:sz w:val="20"/>
          <w:lang w:val="en-US"/>
        </w:rPr>
        <w:t xml:space="preserve">-9 with </w:t>
      </w:r>
      <w:r w:rsidR="00B01B51">
        <w:rPr>
          <w:rFonts w:ascii="Times" w:hAnsi="Times"/>
          <w:sz w:val="20"/>
          <w:lang w:val="en-US"/>
        </w:rPr>
        <w:t>MAF</w:t>
      </w:r>
      <w:r w:rsidR="00B01B51" w:rsidRPr="00B01B51">
        <w:rPr>
          <w:rFonts w:ascii="Times" w:hAnsi="Times"/>
          <w:sz w:val="20"/>
          <w:lang w:val="en-US"/>
        </w:rPr>
        <w:t xml:space="preserve"> </w:t>
      </w:r>
      <w:r w:rsidR="00B01B51" w:rsidRPr="000918C1">
        <w:rPr>
          <w:rFonts w:ascii="Times" w:hAnsi="Times"/>
          <w:sz w:val="20"/>
          <w:lang w:val="en-US"/>
        </w:rPr>
        <w:t>215 MW</w:t>
      </w:r>
      <w:r w:rsidRPr="000918C1">
        <w:rPr>
          <w:rFonts w:ascii="Times" w:hAnsi="Times"/>
          <w:sz w:val="20"/>
          <w:lang w:val="en-US"/>
        </w:rPr>
        <w:t xml:space="preserve"> in normal and repair schemes. The adjacent 8</w:t>
      </w:r>
      <w:r w:rsidR="00B01B51">
        <w:rPr>
          <w:rFonts w:ascii="Times" w:hAnsi="Times"/>
          <w:sz w:val="20"/>
          <w:lang w:val="ru-RU"/>
        </w:rPr>
        <w:t>Е</w:t>
      </w:r>
      <w:r w:rsidRPr="000918C1">
        <w:rPr>
          <w:rFonts w:ascii="Times" w:hAnsi="Times"/>
          <w:sz w:val="20"/>
          <w:lang w:val="en-US"/>
        </w:rPr>
        <w:t xml:space="preserve"> reliability zone also does not </w:t>
      </w:r>
      <w:r w:rsidR="00B01B51" w:rsidRPr="000918C1">
        <w:rPr>
          <w:rFonts w:ascii="Times" w:hAnsi="Times"/>
          <w:sz w:val="20"/>
          <w:lang w:val="en-US"/>
        </w:rPr>
        <w:t>has</w:t>
      </w:r>
      <w:r w:rsidRPr="000918C1">
        <w:rPr>
          <w:rFonts w:ascii="Times" w:hAnsi="Times"/>
          <w:sz w:val="20"/>
          <w:lang w:val="en-US"/>
        </w:rPr>
        <w:t xml:space="preserve"> its own generation. In fig. 4 shows the balance of power 9</w:t>
      </w:r>
      <w:r w:rsidR="00B01B51">
        <w:rPr>
          <w:rFonts w:ascii="Times" w:hAnsi="Times"/>
          <w:sz w:val="20"/>
          <w:lang w:val="ru-RU"/>
        </w:rPr>
        <w:t>Е</w:t>
      </w:r>
      <w:r w:rsidRPr="000918C1">
        <w:rPr>
          <w:rFonts w:ascii="Times" w:hAnsi="Times"/>
          <w:sz w:val="20"/>
          <w:lang w:val="en-US"/>
        </w:rPr>
        <w:t xml:space="preserve"> and adjacent safety zones.</w:t>
      </w:r>
    </w:p>
    <w:p w:rsidR="00D963A2" w:rsidRDefault="00D963A2" w:rsidP="00F43F05">
      <w:pPr>
        <w:ind w:firstLine="284"/>
        <w:jc w:val="both"/>
        <w:rPr>
          <w:rFonts w:ascii="Times" w:hAnsi="Times"/>
          <w:sz w:val="20"/>
          <w:lang w:val="en-US"/>
        </w:rPr>
      </w:pPr>
    </w:p>
    <w:p w:rsidR="00D963A2" w:rsidRDefault="00D963A2" w:rsidP="00D963A2">
      <w:pPr>
        <w:jc w:val="both"/>
        <w:rPr>
          <w:rFonts w:ascii="Times" w:hAnsi="Times"/>
          <w:sz w:val="20"/>
          <w:lang w:val="en-US"/>
        </w:rPr>
      </w:pPr>
      <w:r>
        <w:rPr>
          <w:noProof/>
          <w:lang w:val="ru-RU" w:eastAsia="ru-RU"/>
        </w:rPr>
        <w:drawing>
          <wp:inline distT="0" distB="0" distL="0" distR="0" wp14:anchorId="52644E4A" wp14:editId="0435B57A">
            <wp:extent cx="2915285" cy="1421765"/>
            <wp:effectExtent l="19050" t="19050" r="18415" b="2603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15285" cy="1421765"/>
                    </a:xfrm>
                    <a:prstGeom prst="rect">
                      <a:avLst/>
                    </a:prstGeom>
                    <a:ln w="3175">
                      <a:solidFill>
                        <a:schemeClr val="tx1"/>
                      </a:solidFill>
                    </a:ln>
                  </pic:spPr>
                </pic:pic>
              </a:graphicData>
            </a:graphic>
          </wp:inline>
        </w:drawing>
      </w:r>
    </w:p>
    <w:p w:rsidR="00B01B51" w:rsidRPr="00CA1091" w:rsidRDefault="00B01B51" w:rsidP="00B01B51">
      <w:pPr>
        <w:tabs>
          <w:tab w:val="left" w:pos="340"/>
        </w:tabs>
        <w:spacing w:before="170"/>
        <w:rPr>
          <w:rFonts w:ascii="Times New Roman" w:hAnsi="Times New Roman"/>
          <w:sz w:val="20"/>
          <w:lang w:val="en-GB"/>
        </w:rPr>
      </w:pPr>
      <w:r w:rsidRPr="00CA1091">
        <w:rPr>
          <w:rFonts w:ascii="Times New Roman" w:hAnsi="Times New Roman"/>
          <w:b/>
          <w:sz w:val="18"/>
          <w:szCs w:val="18"/>
          <w:lang w:val="en-GB"/>
        </w:rPr>
        <w:t>Fig</w:t>
      </w:r>
      <w:r>
        <w:rPr>
          <w:rFonts w:ascii="Times New Roman" w:hAnsi="Times New Roman"/>
          <w:b/>
          <w:sz w:val="18"/>
          <w:szCs w:val="18"/>
          <w:lang w:val="en-GB"/>
        </w:rPr>
        <w:t>.</w:t>
      </w:r>
      <w:r w:rsidRPr="00CA1091">
        <w:rPr>
          <w:rFonts w:ascii="Times New Roman" w:hAnsi="Times New Roman"/>
          <w:b/>
          <w:sz w:val="18"/>
          <w:szCs w:val="18"/>
          <w:lang w:val="en-GB"/>
        </w:rPr>
        <w:t xml:space="preserve"> </w:t>
      </w:r>
      <w:r>
        <w:rPr>
          <w:rFonts w:ascii="Times New Roman" w:hAnsi="Times New Roman"/>
          <w:b/>
          <w:sz w:val="18"/>
          <w:szCs w:val="18"/>
          <w:lang w:val="en-US"/>
        </w:rPr>
        <w:t>4</w:t>
      </w:r>
      <w:r w:rsidRPr="00CA1091">
        <w:rPr>
          <w:rFonts w:ascii="Times New Roman" w:hAnsi="Times New Roman"/>
          <w:b/>
          <w:bCs/>
          <w:sz w:val="18"/>
          <w:szCs w:val="18"/>
          <w:lang w:val="en-GB"/>
        </w:rPr>
        <w:t>.</w:t>
      </w:r>
      <w:r w:rsidRPr="00CA1091">
        <w:rPr>
          <w:rFonts w:ascii="Times New Roman" w:hAnsi="Times New Roman"/>
          <w:sz w:val="18"/>
          <w:szCs w:val="18"/>
          <w:lang w:val="en-GB"/>
        </w:rPr>
        <w:t xml:space="preserve"> </w:t>
      </w:r>
      <w:r w:rsidRPr="00992FC2">
        <w:rPr>
          <w:rFonts w:ascii="Times New Roman" w:hAnsi="Times New Roman"/>
          <w:sz w:val="18"/>
          <w:szCs w:val="18"/>
          <w:lang w:val="en-GB"/>
        </w:rPr>
        <w:t xml:space="preserve">Power balance of </w:t>
      </w:r>
      <w:r>
        <w:rPr>
          <w:rFonts w:ascii="Times New Roman" w:hAnsi="Times New Roman"/>
          <w:sz w:val="18"/>
          <w:szCs w:val="18"/>
          <w:lang w:val="en-US"/>
        </w:rPr>
        <w:t>9E</w:t>
      </w:r>
      <w:r w:rsidRPr="00992FC2">
        <w:rPr>
          <w:rFonts w:ascii="Times New Roman" w:hAnsi="Times New Roman"/>
          <w:sz w:val="18"/>
          <w:szCs w:val="18"/>
          <w:lang w:val="en-GB"/>
        </w:rPr>
        <w:t xml:space="preserve"> and adjacent </w:t>
      </w:r>
      <w:r>
        <w:rPr>
          <w:rFonts w:ascii="Times New Roman" w:hAnsi="Times New Roman"/>
          <w:sz w:val="18"/>
          <w:szCs w:val="18"/>
          <w:lang w:val="en-GB"/>
        </w:rPr>
        <w:t>reliability</w:t>
      </w:r>
      <w:r w:rsidRPr="00992FC2">
        <w:rPr>
          <w:rFonts w:ascii="Times New Roman" w:hAnsi="Times New Roman"/>
          <w:sz w:val="18"/>
          <w:szCs w:val="18"/>
          <w:lang w:val="en-GB"/>
        </w:rPr>
        <w:t xml:space="preserve"> zone</w:t>
      </w:r>
      <w:r>
        <w:rPr>
          <w:rFonts w:ascii="Times New Roman" w:hAnsi="Times New Roman"/>
          <w:sz w:val="18"/>
          <w:szCs w:val="18"/>
          <w:lang w:val="en-US"/>
        </w:rPr>
        <w:t>s</w:t>
      </w:r>
      <w:r w:rsidRPr="00992FC2">
        <w:rPr>
          <w:rFonts w:ascii="Times New Roman" w:hAnsi="Times New Roman"/>
          <w:sz w:val="18"/>
          <w:szCs w:val="18"/>
          <w:lang w:val="en-GB"/>
        </w:rPr>
        <w:t>.</w:t>
      </w:r>
      <w:r>
        <w:rPr>
          <w:rFonts w:ascii="Times New Roman" w:hAnsi="Times New Roman"/>
          <w:sz w:val="18"/>
          <w:szCs w:val="18"/>
          <w:lang w:val="en-GB"/>
        </w:rPr>
        <w:t xml:space="preserve"> </w:t>
      </w:r>
    </w:p>
    <w:p w:rsidR="00B01B51" w:rsidRPr="00B01B51" w:rsidRDefault="00B01B51" w:rsidP="00F43F05">
      <w:pPr>
        <w:ind w:firstLine="284"/>
        <w:jc w:val="both"/>
        <w:rPr>
          <w:rFonts w:ascii="Times" w:hAnsi="Times"/>
          <w:sz w:val="20"/>
          <w:lang w:val="en-GB"/>
        </w:rPr>
      </w:pPr>
    </w:p>
    <w:p w:rsidR="000918C1" w:rsidRDefault="00B01B51" w:rsidP="00F43F05">
      <w:pPr>
        <w:ind w:firstLine="284"/>
        <w:jc w:val="both"/>
        <w:rPr>
          <w:rFonts w:ascii="Times" w:hAnsi="Times"/>
          <w:sz w:val="20"/>
          <w:lang w:val="en-US"/>
        </w:rPr>
      </w:pPr>
      <w:r w:rsidRPr="00B01B51">
        <w:rPr>
          <w:rFonts w:ascii="Times" w:hAnsi="Times"/>
          <w:sz w:val="20"/>
          <w:lang w:val="en-US"/>
        </w:rPr>
        <w:t>There is no own generation in the 9</w:t>
      </w:r>
      <w:r w:rsidR="00317F4C">
        <w:rPr>
          <w:rFonts w:ascii="Times" w:hAnsi="Times"/>
          <w:sz w:val="20"/>
          <w:lang w:val="en-US"/>
        </w:rPr>
        <w:t>E</w:t>
      </w:r>
      <w:r w:rsidRPr="00B01B51">
        <w:rPr>
          <w:rFonts w:ascii="Times" w:hAnsi="Times"/>
          <w:sz w:val="20"/>
          <w:lang w:val="en-US"/>
        </w:rPr>
        <w:t xml:space="preserve"> </w:t>
      </w:r>
      <w:r w:rsidR="00317F4C">
        <w:rPr>
          <w:rFonts w:ascii="Times" w:hAnsi="Times"/>
          <w:sz w:val="20"/>
          <w:lang w:val="en-US"/>
        </w:rPr>
        <w:t>reliability</w:t>
      </w:r>
      <w:r w:rsidRPr="00B01B51">
        <w:rPr>
          <w:rFonts w:ascii="Times" w:hAnsi="Times"/>
          <w:sz w:val="20"/>
          <w:lang w:val="en-US"/>
        </w:rPr>
        <w:t xml:space="preserve"> zone and the only adjacent 8</w:t>
      </w:r>
      <w:r w:rsidR="00317F4C">
        <w:rPr>
          <w:rFonts w:ascii="Times" w:hAnsi="Times"/>
          <w:sz w:val="20"/>
          <w:lang w:val="en-US"/>
        </w:rPr>
        <w:t>E</w:t>
      </w:r>
      <w:r w:rsidRPr="00B01B51">
        <w:rPr>
          <w:rFonts w:ascii="Times" w:hAnsi="Times"/>
          <w:sz w:val="20"/>
          <w:lang w:val="en-US"/>
        </w:rPr>
        <w:t xml:space="preserve"> </w:t>
      </w:r>
      <w:r w:rsidR="00317F4C">
        <w:rPr>
          <w:rFonts w:ascii="Times" w:hAnsi="Times"/>
          <w:sz w:val="20"/>
          <w:lang w:val="en-US"/>
        </w:rPr>
        <w:t>reliability</w:t>
      </w:r>
      <w:r w:rsidRPr="00B01B51">
        <w:rPr>
          <w:rFonts w:ascii="Times" w:hAnsi="Times"/>
          <w:sz w:val="20"/>
          <w:lang w:val="en-US"/>
        </w:rPr>
        <w:t xml:space="preserve"> zone. For this reason, ensuring </w:t>
      </w:r>
      <w:r w:rsidR="00317F4C">
        <w:rPr>
          <w:rFonts w:ascii="Times" w:hAnsi="Times"/>
          <w:sz w:val="20"/>
          <w:lang w:val="en-US"/>
        </w:rPr>
        <w:t>adequacy</w:t>
      </w:r>
      <w:r w:rsidRPr="00B01B51">
        <w:rPr>
          <w:rFonts w:ascii="Times" w:hAnsi="Times"/>
          <w:sz w:val="20"/>
          <w:lang w:val="en-US"/>
        </w:rPr>
        <w:t xml:space="preserve"> in these zones is entirely dependent on the operability of the transmission lines that connect these zones with the rest of the</w:t>
      </w:r>
      <w:r w:rsidR="00317F4C" w:rsidRPr="00B01B51">
        <w:rPr>
          <w:rFonts w:ascii="Times" w:hAnsi="Times"/>
          <w:sz w:val="20"/>
          <w:lang w:val="en-US"/>
        </w:rPr>
        <w:t xml:space="preserve"> East</w:t>
      </w:r>
      <w:r w:rsidRPr="00B01B51">
        <w:rPr>
          <w:rFonts w:ascii="Times" w:hAnsi="Times"/>
          <w:sz w:val="20"/>
          <w:lang w:val="en-US"/>
        </w:rPr>
        <w:t xml:space="preserve"> I</w:t>
      </w:r>
      <w:r w:rsidR="00317F4C">
        <w:rPr>
          <w:rFonts w:ascii="Times" w:hAnsi="Times"/>
          <w:sz w:val="20"/>
          <w:lang w:val="en-US"/>
        </w:rPr>
        <w:t>P</w:t>
      </w:r>
      <w:r w:rsidRPr="00B01B51">
        <w:rPr>
          <w:rFonts w:ascii="Times" w:hAnsi="Times"/>
          <w:sz w:val="20"/>
          <w:lang w:val="en-US"/>
        </w:rPr>
        <w:t>S. Reliability zone 8</w:t>
      </w:r>
      <w:r w:rsidR="00317F4C">
        <w:rPr>
          <w:rFonts w:ascii="Times" w:hAnsi="Times"/>
          <w:sz w:val="20"/>
          <w:lang w:val="en-US"/>
        </w:rPr>
        <w:t>E</w:t>
      </w:r>
      <w:r w:rsidRPr="00B01B51">
        <w:rPr>
          <w:rFonts w:ascii="Times" w:hAnsi="Times"/>
          <w:sz w:val="20"/>
          <w:lang w:val="en-US"/>
        </w:rPr>
        <w:t xml:space="preserve"> is connected to reliability zones 6</w:t>
      </w:r>
      <w:r w:rsidR="00317F4C">
        <w:rPr>
          <w:rFonts w:ascii="Times" w:hAnsi="Times"/>
          <w:sz w:val="20"/>
          <w:lang w:val="en-US"/>
        </w:rPr>
        <w:t>E</w:t>
      </w:r>
      <w:r w:rsidRPr="00B01B51">
        <w:rPr>
          <w:rFonts w:ascii="Times" w:hAnsi="Times"/>
          <w:sz w:val="20"/>
          <w:lang w:val="en-US"/>
        </w:rPr>
        <w:t xml:space="preserve"> and 7</w:t>
      </w:r>
      <w:r w:rsidR="00317F4C">
        <w:rPr>
          <w:rFonts w:ascii="Times" w:hAnsi="Times"/>
          <w:sz w:val="20"/>
          <w:lang w:val="en-US"/>
        </w:rPr>
        <w:t>E</w:t>
      </w:r>
      <w:r w:rsidRPr="00B01B51">
        <w:rPr>
          <w:rFonts w:ascii="Times" w:hAnsi="Times"/>
          <w:sz w:val="20"/>
          <w:lang w:val="en-US"/>
        </w:rPr>
        <w:t xml:space="preserve">, which have a surplus of generating capacity at the level of 1700 MW. Thus, having studied the balance situation of the energy region under consideration, we can conclude that power </w:t>
      </w:r>
      <w:r w:rsidR="00317F4C">
        <w:rPr>
          <w:rFonts w:ascii="Times" w:hAnsi="Times"/>
          <w:sz w:val="20"/>
          <w:lang w:val="en-US"/>
        </w:rPr>
        <w:t>shortage</w:t>
      </w:r>
      <w:r w:rsidRPr="00B01B51">
        <w:rPr>
          <w:rFonts w:ascii="Times" w:hAnsi="Times"/>
          <w:sz w:val="20"/>
          <w:lang w:val="en-US"/>
        </w:rPr>
        <w:t xml:space="preserve"> in 9</w:t>
      </w:r>
      <w:r w:rsidR="00317F4C">
        <w:rPr>
          <w:rFonts w:ascii="Times" w:hAnsi="Times"/>
          <w:sz w:val="20"/>
          <w:lang w:val="en-US"/>
        </w:rPr>
        <w:t>E</w:t>
      </w:r>
      <w:r w:rsidRPr="00B01B51">
        <w:rPr>
          <w:rFonts w:ascii="Times" w:hAnsi="Times"/>
          <w:sz w:val="20"/>
          <w:lang w:val="en-US"/>
        </w:rPr>
        <w:t xml:space="preserve"> arise due to failures of the power lines of the </w:t>
      </w:r>
      <w:r w:rsidR="00317F4C">
        <w:rPr>
          <w:rFonts w:ascii="Times" w:hAnsi="Times"/>
          <w:sz w:val="20"/>
          <w:lang w:val="en-US"/>
        </w:rPr>
        <w:t>E</w:t>
      </w:r>
      <w:r w:rsidRPr="00B01B51">
        <w:rPr>
          <w:rFonts w:ascii="Times" w:hAnsi="Times"/>
          <w:sz w:val="20"/>
          <w:lang w:val="en-US"/>
        </w:rPr>
        <w:t xml:space="preserve">-10 and </w:t>
      </w:r>
      <w:r w:rsidR="00317F4C">
        <w:rPr>
          <w:rFonts w:ascii="Times" w:hAnsi="Times"/>
          <w:sz w:val="20"/>
          <w:lang w:val="en-US"/>
        </w:rPr>
        <w:t>E</w:t>
      </w:r>
      <w:r w:rsidRPr="00B01B51">
        <w:rPr>
          <w:rFonts w:ascii="Times" w:hAnsi="Times"/>
          <w:sz w:val="20"/>
          <w:lang w:val="en-US"/>
        </w:rPr>
        <w:t xml:space="preserve">-11 </w:t>
      </w:r>
      <w:r w:rsidR="00317F4C">
        <w:rPr>
          <w:rFonts w:ascii="Times" w:hAnsi="Times"/>
          <w:sz w:val="20"/>
          <w:lang w:val="en-US"/>
        </w:rPr>
        <w:t>controlled sections.</w:t>
      </w:r>
    </w:p>
    <w:p w:rsidR="00B01B51" w:rsidRDefault="00317F4C" w:rsidP="00F43F05">
      <w:pPr>
        <w:ind w:firstLine="284"/>
        <w:jc w:val="both"/>
        <w:rPr>
          <w:rFonts w:ascii="Times" w:hAnsi="Times"/>
          <w:sz w:val="20"/>
          <w:lang w:val="en-US"/>
        </w:rPr>
      </w:pPr>
      <w:r w:rsidRPr="00317F4C">
        <w:rPr>
          <w:rFonts w:ascii="Times" w:hAnsi="Times"/>
          <w:sz w:val="20"/>
          <w:lang w:val="en-US"/>
        </w:rPr>
        <w:t>Further, calculations were made to optimize the generating capacity reserve in accordance with the statement of problem (1) - (3). At the same time, the standard value of the probability of deficit-free work was adopted at the level of 0.999. Table 3 shows the calculated data on the power balance of the U</w:t>
      </w:r>
      <w:r w:rsidR="00547225">
        <w:rPr>
          <w:rFonts w:ascii="Times" w:hAnsi="Times"/>
          <w:sz w:val="20"/>
          <w:lang w:val="en-US"/>
        </w:rPr>
        <w:t>P</w:t>
      </w:r>
      <w:r w:rsidRPr="00317F4C">
        <w:rPr>
          <w:rFonts w:ascii="Times" w:hAnsi="Times"/>
          <w:sz w:val="20"/>
          <w:lang w:val="en-US"/>
        </w:rPr>
        <w:t xml:space="preserve">S of Russia per hour of the </w:t>
      </w:r>
      <w:r w:rsidR="00547225">
        <w:rPr>
          <w:rFonts w:ascii="Times" w:hAnsi="Times"/>
          <w:sz w:val="20"/>
          <w:lang w:val="en-US"/>
        </w:rPr>
        <w:t>coincident</w:t>
      </w:r>
      <w:r w:rsidRPr="00317F4C">
        <w:rPr>
          <w:rFonts w:ascii="Times" w:hAnsi="Times"/>
          <w:sz w:val="20"/>
          <w:lang w:val="en-US"/>
        </w:rPr>
        <w:t xml:space="preserve"> maximum power consumption in 2022 for the options for ensuring the standard level of probability of deficit-free operation at the level of 0.999, taking into account the conclusions of generating capacities. Table 4 presents the results for </w:t>
      </w:r>
      <w:r w:rsidR="00547225">
        <w:rPr>
          <w:rFonts w:ascii="Times" w:hAnsi="Times"/>
          <w:sz w:val="20"/>
          <w:lang w:val="en-US"/>
        </w:rPr>
        <w:t>IPS of Russia</w:t>
      </w:r>
      <w:r w:rsidRPr="00317F4C">
        <w:rPr>
          <w:rFonts w:ascii="Times" w:hAnsi="Times"/>
          <w:sz w:val="20"/>
          <w:lang w:val="en-US"/>
        </w:rPr>
        <w:t>.</w:t>
      </w:r>
    </w:p>
    <w:p w:rsidR="00EF1D2A" w:rsidRPr="00CA1091" w:rsidRDefault="00EF1D2A" w:rsidP="00EF1D2A">
      <w:pPr>
        <w:spacing w:before="170" w:after="170"/>
        <w:jc w:val="center"/>
        <w:rPr>
          <w:rFonts w:ascii="Times" w:hAnsi="Times"/>
          <w:iCs/>
          <w:sz w:val="18"/>
          <w:szCs w:val="16"/>
          <w:lang w:val="en-GB"/>
        </w:rPr>
      </w:pPr>
      <w:r w:rsidRPr="00CA1091">
        <w:rPr>
          <w:rFonts w:ascii="Times" w:hAnsi="Times"/>
          <w:b/>
          <w:bCs/>
          <w:iCs/>
          <w:sz w:val="18"/>
          <w:szCs w:val="16"/>
          <w:lang w:val="en-GB"/>
        </w:rPr>
        <w:t xml:space="preserve">Table </w:t>
      </w:r>
      <w:r w:rsidRPr="00EF1D2A">
        <w:rPr>
          <w:rFonts w:ascii="Times" w:hAnsi="Times"/>
          <w:b/>
          <w:bCs/>
          <w:iCs/>
          <w:sz w:val="18"/>
          <w:szCs w:val="16"/>
          <w:lang w:val="en-US"/>
        </w:rPr>
        <w:t>3</w:t>
      </w:r>
      <w:r w:rsidRPr="00CA1091">
        <w:rPr>
          <w:rFonts w:ascii="Times" w:hAnsi="Times"/>
          <w:b/>
          <w:bCs/>
          <w:iCs/>
          <w:sz w:val="18"/>
          <w:szCs w:val="16"/>
          <w:lang w:val="en-GB"/>
        </w:rPr>
        <w:t>.</w:t>
      </w:r>
      <w:r w:rsidRPr="00CA1091">
        <w:rPr>
          <w:rFonts w:ascii="Times" w:hAnsi="Times"/>
          <w:iCs/>
          <w:sz w:val="18"/>
          <w:szCs w:val="16"/>
          <w:lang w:val="en-GB"/>
        </w:rPr>
        <w:t xml:space="preserve"> </w:t>
      </w:r>
      <w:r w:rsidRPr="000B6474">
        <w:rPr>
          <w:rFonts w:ascii="Times" w:hAnsi="Times"/>
          <w:iCs/>
          <w:sz w:val="18"/>
          <w:szCs w:val="16"/>
          <w:lang w:val="en-GB"/>
        </w:rPr>
        <w:t>Power balance in the U</w:t>
      </w:r>
      <w:r>
        <w:rPr>
          <w:rFonts w:ascii="Times" w:hAnsi="Times"/>
          <w:iCs/>
          <w:sz w:val="18"/>
          <w:szCs w:val="16"/>
          <w:lang w:val="en-GB"/>
        </w:rPr>
        <w:t>P</w:t>
      </w:r>
      <w:r w:rsidRPr="000B6474">
        <w:rPr>
          <w:rFonts w:ascii="Times" w:hAnsi="Times"/>
          <w:iCs/>
          <w:sz w:val="18"/>
          <w:szCs w:val="16"/>
          <w:lang w:val="en-GB"/>
        </w:rPr>
        <w:t>S of Russia at the level of 2022 ()</w:t>
      </w:r>
    </w:p>
    <w:tbl>
      <w:tblPr>
        <w:tblW w:w="0" w:type="auto"/>
        <w:jc w:val="center"/>
        <w:tblLayout w:type="fixed"/>
        <w:tblLook w:val="0000" w:firstRow="0" w:lastRow="0" w:firstColumn="0" w:lastColumn="0" w:noHBand="0" w:noVBand="0"/>
      </w:tblPr>
      <w:tblGrid>
        <w:gridCol w:w="2873"/>
        <w:gridCol w:w="1279"/>
      </w:tblGrid>
      <w:tr w:rsidR="00EF1D2A" w:rsidRPr="00CA1091" w:rsidTr="00BE2F47">
        <w:trPr>
          <w:trHeight w:val="567"/>
          <w:jc w:val="center"/>
        </w:trPr>
        <w:tc>
          <w:tcPr>
            <w:tcW w:w="2873" w:type="dxa"/>
            <w:tcBorders>
              <w:top w:val="single" w:sz="4" w:space="0" w:color="000000"/>
              <w:left w:val="single" w:sz="4" w:space="0" w:color="000000"/>
              <w:bottom w:val="single" w:sz="4" w:space="0" w:color="000000"/>
            </w:tcBorders>
            <w:vAlign w:val="center"/>
          </w:tcPr>
          <w:p w:rsidR="00EF1D2A" w:rsidRPr="000471D9" w:rsidRDefault="00EF1D2A" w:rsidP="00BE2F47">
            <w:pPr>
              <w:snapToGrid w:val="0"/>
              <w:jc w:val="center"/>
              <w:rPr>
                <w:rFonts w:ascii="Times" w:hAnsi="Times"/>
                <w:sz w:val="18"/>
                <w:szCs w:val="18"/>
                <w:lang w:val="en-US"/>
              </w:rPr>
            </w:pPr>
            <w:r w:rsidRPr="000471D9">
              <w:rPr>
                <w:rFonts w:ascii="Times" w:hAnsi="Times"/>
                <w:sz w:val="18"/>
                <w:szCs w:val="18"/>
                <w:lang w:val="en-GB"/>
              </w:rPr>
              <w:t>Installed capacity</w:t>
            </w:r>
            <w:r>
              <w:rPr>
                <w:rFonts w:ascii="Times" w:hAnsi="Times"/>
                <w:sz w:val="18"/>
                <w:szCs w:val="18"/>
                <w:lang w:val="ru-RU"/>
              </w:rPr>
              <w:t xml:space="preserve">, </w:t>
            </w:r>
            <w:r>
              <w:rPr>
                <w:rFonts w:ascii="Times" w:hAnsi="Times"/>
                <w:sz w:val="18"/>
                <w:szCs w:val="18"/>
                <w:lang w:val="en-US"/>
              </w:rPr>
              <w:t>MW</w:t>
            </w:r>
          </w:p>
        </w:tc>
        <w:tc>
          <w:tcPr>
            <w:tcW w:w="1279" w:type="dxa"/>
            <w:tcBorders>
              <w:top w:val="single" w:sz="4" w:space="0" w:color="000000"/>
              <w:left w:val="single" w:sz="4" w:space="0" w:color="000000"/>
              <w:bottom w:val="single" w:sz="4" w:space="0" w:color="000000"/>
              <w:right w:val="single" w:sz="4" w:space="0" w:color="000000"/>
            </w:tcBorders>
            <w:vAlign w:val="center"/>
          </w:tcPr>
          <w:p w:rsidR="00EF1D2A" w:rsidRPr="00CA1091" w:rsidRDefault="00EF1D2A" w:rsidP="00BE2F47">
            <w:pPr>
              <w:snapToGrid w:val="0"/>
              <w:jc w:val="center"/>
              <w:rPr>
                <w:rFonts w:ascii="Times" w:hAnsi="Times"/>
                <w:sz w:val="18"/>
                <w:szCs w:val="18"/>
                <w:lang w:val="en-GB"/>
              </w:rPr>
            </w:pPr>
            <w:r w:rsidRPr="00EF1D2A">
              <w:rPr>
                <w:rFonts w:ascii="Times" w:hAnsi="Times"/>
                <w:sz w:val="18"/>
                <w:szCs w:val="18"/>
                <w:lang w:val="en-GB"/>
              </w:rPr>
              <w:t>183902</w:t>
            </w:r>
          </w:p>
        </w:tc>
      </w:tr>
      <w:tr w:rsidR="00EF1D2A" w:rsidRPr="00CA1091" w:rsidTr="00BE2F47">
        <w:trPr>
          <w:trHeight w:val="567"/>
          <w:jc w:val="center"/>
        </w:trPr>
        <w:tc>
          <w:tcPr>
            <w:tcW w:w="2873" w:type="dxa"/>
            <w:tcBorders>
              <w:top w:val="single" w:sz="4" w:space="0" w:color="000000"/>
              <w:left w:val="single" w:sz="4" w:space="0" w:color="000000"/>
              <w:bottom w:val="single" w:sz="4" w:space="0" w:color="000000"/>
            </w:tcBorders>
            <w:vAlign w:val="center"/>
          </w:tcPr>
          <w:p w:rsidR="00EF1D2A" w:rsidRPr="00CA1091" w:rsidRDefault="00711ADA" w:rsidP="00BE2F47">
            <w:pPr>
              <w:snapToGrid w:val="0"/>
              <w:jc w:val="center"/>
              <w:rPr>
                <w:rFonts w:ascii="Times" w:hAnsi="Times"/>
                <w:sz w:val="18"/>
                <w:szCs w:val="18"/>
                <w:lang w:val="en-GB"/>
              </w:rPr>
            </w:pPr>
            <w:r w:rsidRPr="00F90A1A">
              <w:rPr>
                <w:rFonts w:ascii="Times" w:hAnsi="Times"/>
                <w:sz w:val="18"/>
                <w:szCs w:val="18"/>
                <w:lang w:val="en-US"/>
              </w:rPr>
              <w:t>Generation capacity dis</w:t>
            </w:r>
            <w:r w:rsidR="00F90A1A" w:rsidRPr="00F90A1A">
              <w:rPr>
                <w:rFonts w:ascii="Times" w:hAnsi="Times"/>
                <w:sz w:val="18"/>
                <w:szCs w:val="18"/>
                <w:lang w:val="en-US"/>
              </w:rPr>
              <w:t>connection</w:t>
            </w:r>
            <w:r w:rsidR="00EF1D2A">
              <w:rPr>
                <w:rFonts w:ascii="Times" w:hAnsi="Times"/>
                <w:sz w:val="18"/>
                <w:szCs w:val="18"/>
                <w:lang w:val="ru-RU"/>
              </w:rPr>
              <w:t xml:space="preserve">, </w:t>
            </w:r>
            <w:r w:rsidR="00EF1D2A">
              <w:rPr>
                <w:rFonts w:ascii="Times" w:hAnsi="Times"/>
                <w:sz w:val="18"/>
                <w:szCs w:val="18"/>
                <w:lang w:val="en-US"/>
              </w:rPr>
              <w:t>MW</w:t>
            </w:r>
          </w:p>
        </w:tc>
        <w:tc>
          <w:tcPr>
            <w:tcW w:w="1279" w:type="dxa"/>
            <w:tcBorders>
              <w:top w:val="single" w:sz="4" w:space="0" w:color="000000"/>
              <w:left w:val="single" w:sz="4" w:space="0" w:color="000000"/>
              <w:bottom w:val="single" w:sz="4" w:space="0" w:color="000000"/>
              <w:right w:val="single" w:sz="4" w:space="0" w:color="000000"/>
            </w:tcBorders>
            <w:vAlign w:val="center"/>
          </w:tcPr>
          <w:p w:rsidR="00EF1D2A" w:rsidRPr="000471D9" w:rsidRDefault="00EF1D2A" w:rsidP="00BE2F47">
            <w:pPr>
              <w:snapToGrid w:val="0"/>
              <w:jc w:val="center"/>
              <w:rPr>
                <w:rFonts w:ascii="Times" w:hAnsi="Times"/>
                <w:sz w:val="18"/>
                <w:szCs w:val="18"/>
                <w:lang w:val="ru-RU"/>
              </w:rPr>
            </w:pPr>
            <w:r>
              <w:rPr>
                <w:rFonts w:ascii="Times" w:hAnsi="Times"/>
                <w:sz w:val="18"/>
                <w:szCs w:val="18"/>
                <w:lang w:val="ru-RU"/>
              </w:rPr>
              <w:t>34198</w:t>
            </w:r>
          </w:p>
        </w:tc>
      </w:tr>
      <w:tr w:rsidR="00EF1D2A" w:rsidRPr="00CA1091" w:rsidTr="00BE2F47">
        <w:trPr>
          <w:trHeight w:val="567"/>
          <w:jc w:val="center"/>
        </w:trPr>
        <w:tc>
          <w:tcPr>
            <w:tcW w:w="2873" w:type="dxa"/>
            <w:tcBorders>
              <w:top w:val="single" w:sz="4" w:space="0" w:color="000000"/>
              <w:left w:val="single" w:sz="4" w:space="0" w:color="000000"/>
              <w:bottom w:val="single" w:sz="4" w:space="0" w:color="000000"/>
            </w:tcBorders>
            <w:vAlign w:val="center"/>
          </w:tcPr>
          <w:p w:rsidR="00EF1D2A" w:rsidRPr="00543D98" w:rsidRDefault="00EF1D2A" w:rsidP="00BE2F47">
            <w:pPr>
              <w:snapToGrid w:val="0"/>
              <w:jc w:val="center"/>
              <w:rPr>
                <w:rFonts w:ascii="Times" w:hAnsi="Times"/>
                <w:sz w:val="18"/>
                <w:szCs w:val="18"/>
                <w:lang w:val="en-US"/>
              </w:rPr>
            </w:pPr>
            <w:r>
              <w:rPr>
                <w:rFonts w:ascii="Times" w:hAnsi="Times"/>
                <w:sz w:val="18"/>
                <w:szCs w:val="18"/>
                <w:lang w:val="en-GB"/>
              </w:rPr>
              <w:t>C</w:t>
            </w:r>
            <w:r w:rsidRPr="00BC1650">
              <w:rPr>
                <w:rFonts w:ascii="Times" w:hAnsi="Times"/>
                <w:sz w:val="18"/>
                <w:szCs w:val="18"/>
                <w:lang w:val="en-GB"/>
              </w:rPr>
              <w:t>oincident maximum power demand</w:t>
            </w:r>
            <w:r w:rsidRPr="00BC1650">
              <w:rPr>
                <w:rFonts w:ascii="Times" w:hAnsi="Times"/>
                <w:sz w:val="18"/>
                <w:szCs w:val="18"/>
                <w:lang w:val="en-US"/>
              </w:rPr>
              <w:t xml:space="preserve">, </w:t>
            </w:r>
            <w:r>
              <w:rPr>
                <w:rFonts w:ascii="Times" w:hAnsi="Times"/>
                <w:sz w:val="18"/>
                <w:szCs w:val="18"/>
                <w:lang w:val="en-US"/>
              </w:rPr>
              <w:t xml:space="preserve">MW </w:t>
            </w:r>
          </w:p>
        </w:tc>
        <w:tc>
          <w:tcPr>
            <w:tcW w:w="1279" w:type="dxa"/>
            <w:tcBorders>
              <w:top w:val="single" w:sz="4" w:space="0" w:color="000000"/>
              <w:left w:val="single" w:sz="4" w:space="0" w:color="000000"/>
              <w:bottom w:val="single" w:sz="4" w:space="0" w:color="000000"/>
              <w:right w:val="single" w:sz="4" w:space="0" w:color="000000"/>
            </w:tcBorders>
            <w:vAlign w:val="center"/>
          </w:tcPr>
          <w:p w:rsidR="00EF1D2A" w:rsidRPr="00CA1091" w:rsidRDefault="00EF1D2A" w:rsidP="00BE2F47">
            <w:pPr>
              <w:snapToGrid w:val="0"/>
              <w:jc w:val="center"/>
              <w:rPr>
                <w:rFonts w:ascii="Times" w:hAnsi="Times"/>
                <w:sz w:val="18"/>
                <w:szCs w:val="18"/>
                <w:lang w:val="en-GB"/>
              </w:rPr>
            </w:pPr>
            <w:r>
              <w:rPr>
                <w:rFonts w:ascii="Times" w:hAnsi="Times"/>
                <w:sz w:val="18"/>
                <w:szCs w:val="18"/>
                <w:lang w:val="en-GB"/>
              </w:rPr>
              <w:t>165202</w:t>
            </w:r>
          </w:p>
        </w:tc>
      </w:tr>
      <w:tr w:rsidR="00EF1D2A" w:rsidRPr="00CA1091" w:rsidTr="00BE2F47">
        <w:trPr>
          <w:trHeight w:val="567"/>
          <w:jc w:val="center"/>
        </w:trPr>
        <w:tc>
          <w:tcPr>
            <w:tcW w:w="2873" w:type="dxa"/>
            <w:tcBorders>
              <w:top w:val="single" w:sz="4" w:space="0" w:color="000000"/>
              <w:left w:val="single" w:sz="4" w:space="0" w:color="000000"/>
              <w:bottom w:val="single" w:sz="4" w:space="0" w:color="000000"/>
            </w:tcBorders>
            <w:vAlign w:val="center"/>
          </w:tcPr>
          <w:p w:rsidR="00EF1D2A" w:rsidRPr="006776D5" w:rsidRDefault="00EF1D2A" w:rsidP="00BE2F47">
            <w:pPr>
              <w:snapToGrid w:val="0"/>
              <w:jc w:val="center"/>
              <w:rPr>
                <w:rFonts w:ascii="Times" w:hAnsi="Times"/>
                <w:sz w:val="18"/>
                <w:szCs w:val="18"/>
              </w:rPr>
            </w:pPr>
            <w:r w:rsidRPr="00F51788">
              <w:rPr>
                <w:rFonts w:ascii="Times" w:hAnsi="Times"/>
                <w:sz w:val="18"/>
                <w:szCs w:val="18"/>
              </w:rPr>
              <w:t>Capacity reserve, %</w:t>
            </w:r>
          </w:p>
        </w:tc>
        <w:tc>
          <w:tcPr>
            <w:tcW w:w="1279" w:type="dxa"/>
            <w:tcBorders>
              <w:top w:val="single" w:sz="4" w:space="0" w:color="000000"/>
              <w:left w:val="single" w:sz="4" w:space="0" w:color="000000"/>
              <w:bottom w:val="single" w:sz="4" w:space="0" w:color="000000"/>
              <w:right w:val="single" w:sz="4" w:space="0" w:color="000000"/>
            </w:tcBorders>
            <w:vAlign w:val="center"/>
          </w:tcPr>
          <w:p w:rsidR="00EF1D2A" w:rsidRPr="0007589F" w:rsidRDefault="00EF1D2A" w:rsidP="00BE2F47">
            <w:pPr>
              <w:snapToGrid w:val="0"/>
              <w:jc w:val="center"/>
              <w:rPr>
                <w:rFonts w:ascii="Times" w:hAnsi="Times"/>
                <w:sz w:val="18"/>
                <w:szCs w:val="18"/>
                <w:lang w:val="ru-RU"/>
              </w:rPr>
            </w:pPr>
            <w:r>
              <w:rPr>
                <w:rFonts w:ascii="Times" w:hAnsi="Times"/>
                <w:sz w:val="18"/>
                <w:szCs w:val="18"/>
                <w:lang w:val="ru-RU"/>
              </w:rPr>
              <w:t>11,3</w:t>
            </w:r>
          </w:p>
        </w:tc>
      </w:tr>
    </w:tbl>
    <w:p w:rsidR="00EF1D2A" w:rsidRDefault="00EF1D2A" w:rsidP="00EF1D2A">
      <w:pPr>
        <w:ind w:firstLine="284"/>
        <w:jc w:val="both"/>
        <w:rPr>
          <w:rFonts w:ascii="Times" w:hAnsi="Times"/>
          <w:sz w:val="20"/>
          <w:lang w:val="en-US"/>
        </w:rPr>
      </w:pPr>
    </w:p>
    <w:p w:rsidR="00EF1D2A" w:rsidRPr="00CA1091" w:rsidRDefault="00EF1D2A" w:rsidP="00EF1D2A">
      <w:pPr>
        <w:spacing w:before="170" w:after="170"/>
        <w:jc w:val="center"/>
        <w:rPr>
          <w:rFonts w:ascii="Times" w:hAnsi="Times"/>
          <w:iCs/>
          <w:sz w:val="18"/>
          <w:szCs w:val="16"/>
          <w:lang w:val="en-GB"/>
        </w:rPr>
      </w:pPr>
      <w:r w:rsidRPr="00CA1091">
        <w:rPr>
          <w:rFonts w:ascii="Times" w:hAnsi="Times"/>
          <w:b/>
          <w:bCs/>
          <w:iCs/>
          <w:sz w:val="18"/>
          <w:szCs w:val="16"/>
          <w:lang w:val="en-GB"/>
        </w:rPr>
        <w:t xml:space="preserve">Table </w:t>
      </w:r>
      <w:r w:rsidRPr="00711ADA">
        <w:rPr>
          <w:rFonts w:ascii="Times" w:hAnsi="Times"/>
          <w:b/>
          <w:bCs/>
          <w:iCs/>
          <w:sz w:val="18"/>
          <w:szCs w:val="16"/>
          <w:lang w:val="en-US"/>
        </w:rPr>
        <w:t>4</w:t>
      </w:r>
      <w:r w:rsidRPr="00CA1091">
        <w:rPr>
          <w:rFonts w:ascii="Times" w:hAnsi="Times"/>
          <w:b/>
          <w:bCs/>
          <w:iCs/>
          <w:sz w:val="18"/>
          <w:szCs w:val="16"/>
          <w:lang w:val="en-GB"/>
        </w:rPr>
        <w:t>.</w:t>
      </w:r>
      <w:r w:rsidRPr="00CA1091">
        <w:rPr>
          <w:rFonts w:ascii="Times" w:hAnsi="Times"/>
          <w:iCs/>
          <w:sz w:val="18"/>
          <w:szCs w:val="16"/>
          <w:lang w:val="en-GB"/>
        </w:rPr>
        <w:t xml:space="preserve"> </w:t>
      </w:r>
      <w:r w:rsidRPr="000B6474">
        <w:rPr>
          <w:rFonts w:ascii="Times" w:hAnsi="Times"/>
          <w:iCs/>
          <w:sz w:val="18"/>
          <w:szCs w:val="16"/>
          <w:lang w:val="en-GB"/>
        </w:rPr>
        <w:t>Power balance in the U</w:t>
      </w:r>
      <w:r>
        <w:rPr>
          <w:rFonts w:ascii="Times" w:hAnsi="Times"/>
          <w:iCs/>
          <w:sz w:val="18"/>
          <w:szCs w:val="16"/>
          <w:lang w:val="en-GB"/>
        </w:rPr>
        <w:t>P</w:t>
      </w:r>
      <w:r w:rsidRPr="000B6474">
        <w:rPr>
          <w:rFonts w:ascii="Times" w:hAnsi="Times"/>
          <w:iCs/>
          <w:sz w:val="18"/>
          <w:szCs w:val="16"/>
          <w:lang w:val="en-GB"/>
        </w:rPr>
        <w:t>S of Russia at the level of 2022 ()</w:t>
      </w:r>
    </w:p>
    <w:tbl>
      <w:tblPr>
        <w:tblW w:w="4603" w:type="dxa"/>
        <w:jc w:val="center"/>
        <w:tblLayout w:type="fixed"/>
        <w:tblLook w:val="0000" w:firstRow="0" w:lastRow="0" w:firstColumn="0" w:lastColumn="0" w:noHBand="0" w:noVBand="0"/>
      </w:tblPr>
      <w:tblGrid>
        <w:gridCol w:w="680"/>
        <w:gridCol w:w="833"/>
        <w:gridCol w:w="1247"/>
        <w:gridCol w:w="993"/>
        <w:gridCol w:w="850"/>
      </w:tblGrid>
      <w:tr w:rsidR="00041A34" w:rsidRPr="00CA1091" w:rsidTr="00BD52C5">
        <w:trPr>
          <w:trHeight w:val="567"/>
          <w:jc w:val="center"/>
        </w:trPr>
        <w:tc>
          <w:tcPr>
            <w:tcW w:w="680" w:type="dxa"/>
            <w:tcBorders>
              <w:top w:val="single" w:sz="4" w:space="0" w:color="000000"/>
              <w:left w:val="single" w:sz="4" w:space="0" w:color="000000"/>
              <w:bottom w:val="single" w:sz="4" w:space="0" w:color="000000"/>
            </w:tcBorders>
            <w:vAlign w:val="center"/>
          </w:tcPr>
          <w:p w:rsidR="00041A34" w:rsidRPr="00F51788" w:rsidRDefault="00041A34" w:rsidP="00BD52C5">
            <w:pPr>
              <w:snapToGrid w:val="0"/>
              <w:ind w:left="-57" w:right="-57"/>
              <w:jc w:val="center"/>
              <w:rPr>
                <w:rFonts w:ascii="Times" w:hAnsi="Times"/>
                <w:b/>
                <w:sz w:val="18"/>
                <w:szCs w:val="18"/>
                <w:lang w:val="en-US"/>
              </w:rPr>
            </w:pPr>
            <w:r w:rsidRPr="00F51788">
              <w:rPr>
                <w:rFonts w:ascii="Times" w:hAnsi="Times"/>
                <w:b/>
                <w:sz w:val="18"/>
                <w:szCs w:val="18"/>
                <w:lang w:val="en-US"/>
              </w:rPr>
              <w:t>EPS Name</w:t>
            </w:r>
          </w:p>
        </w:tc>
        <w:tc>
          <w:tcPr>
            <w:tcW w:w="833" w:type="dxa"/>
            <w:tcBorders>
              <w:top w:val="single" w:sz="4" w:space="0" w:color="000000"/>
              <w:left w:val="single" w:sz="4" w:space="0" w:color="000000"/>
              <w:bottom w:val="single" w:sz="4" w:space="0" w:color="000000"/>
              <w:right w:val="single" w:sz="4" w:space="0" w:color="000000"/>
            </w:tcBorders>
            <w:vAlign w:val="center"/>
          </w:tcPr>
          <w:p w:rsidR="00041A34" w:rsidRPr="00F51788" w:rsidRDefault="00041A34" w:rsidP="00BD52C5">
            <w:pPr>
              <w:snapToGrid w:val="0"/>
              <w:ind w:left="-57" w:right="-57"/>
              <w:jc w:val="center"/>
              <w:rPr>
                <w:rFonts w:ascii="Times" w:hAnsi="Times"/>
                <w:b/>
                <w:sz w:val="18"/>
                <w:szCs w:val="18"/>
                <w:lang w:val="en-GB"/>
              </w:rPr>
            </w:pPr>
            <w:r w:rsidRPr="00F51788">
              <w:rPr>
                <w:rFonts w:ascii="Times" w:hAnsi="Times"/>
                <w:b/>
                <w:sz w:val="18"/>
                <w:szCs w:val="18"/>
                <w:lang w:val="en-US"/>
              </w:rPr>
              <w:t>Available</w:t>
            </w:r>
            <w:r w:rsidRPr="00F51788">
              <w:rPr>
                <w:rFonts w:ascii="Times" w:hAnsi="Times"/>
                <w:b/>
                <w:sz w:val="18"/>
                <w:szCs w:val="18"/>
                <w:lang w:val="en-GB"/>
              </w:rPr>
              <w:t xml:space="preserve"> capacity</w:t>
            </w:r>
            <w:r w:rsidRPr="00F51788">
              <w:rPr>
                <w:rFonts w:ascii="Times" w:hAnsi="Times"/>
                <w:b/>
                <w:sz w:val="18"/>
                <w:szCs w:val="18"/>
                <w:lang w:val="en-US"/>
              </w:rPr>
              <w:t>, MW</w:t>
            </w:r>
          </w:p>
        </w:tc>
        <w:tc>
          <w:tcPr>
            <w:tcW w:w="1247" w:type="dxa"/>
            <w:tcBorders>
              <w:top w:val="single" w:sz="4" w:space="0" w:color="000000"/>
              <w:left w:val="single" w:sz="4" w:space="0" w:color="000000"/>
              <w:bottom w:val="single" w:sz="4" w:space="0" w:color="000000"/>
              <w:right w:val="single" w:sz="4" w:space="0" w:color="000000"/>
            </w:tcBorders>
            <w:vAlign w:val="center"/>
          </w:tcPr>
          <w:p w:rsidR="00041A34" w:rsidRPr="0066621D" w:rsidRDefault="0066621D" w:rsidP="00BD52C5">
            <w:pPr>
              <w:snapToGrid w:val="0"/>
              <w:ind w:left="-57" w:right="-57"/>
              <w:jc w:val="center"/>
              <w:rPr>
                <w:rFonts w:ascii="Times" w:hAnsi="Times"/>
                <w:b/>
                <w:sz w:val="18"/>
                <w:szCs w:val="18"/>
                <w:lang w:val="en-GB"/>
              </w:rPr>
            </w:pPr>
            <w:r w:rsidRPr="0066621D">
              <w:rPr>
                <w:rFonts w:ascii="Times" w:hAnsi="Times"/>
                <w:b/>
                <w:sz w:val="18"/>
                <w:szCs w:val="18"/>
                <w:lang w:val="en-US"/>
              </w:rPr>
              <w:t>Generation capacity disconnection</w:t>
            </w:r>
            <w:r w:rsidRPr="0066621D">
              <w:rPr>
                <w:rFonts w:ascii="Times" w:hAnsi="Times"/>
                <w:b/>
                <w:sz w:val="18"/>
                <w:szCs w:val="18"/>
                <w:lang w:val="ru-RU"/>
              </w:rPr>
              <w:t xml:space="preserve">, </w:t>
            </w:r>
            <w:r w:rsidRPr="0066621D">
              <w:rPr>
                <w:rFonts w:ascii="Times" w:hAnsi="Times"/>
                <w:b/>
                <w:sz w:val="18"/>
                <w:szCs w:val="18"/>
                <w:lang w:val="en-US"/>
              </w:rPr>
              <w:t>MW</w:t>
            </w:r>
          </w:p>
        </w:tc>
        <w:tc>
          <w:tcPr>
            <w:tcW w:w="993" w:type="dxa"/>
            <w:tcBorders>
              <w:top w:val="single" w:sz="4" w:space="0" w:color="000000"/>
              <w:left w:val="single" w:sz="4" w:space="0" w:color="000000"/>
              <w:bottom w:val="single" w:sz="4" w:space="0" w:color="000000"/>
              <w:right w:val="single" w:sz="4" w:space="0" w:color="000000"/>
            </w:tcBorders>
          </w:tcPr>
          <w:p w:rsidR="00041A34" w:rsidRPr="00F51788" w:rsidRDefault="00041A34" w:rsidP="00BD52C5">
            <w:pPr>
              <w:snapToGrid w:val="0"/>
              <w:ind w:left="-45" w:right="-45"/>
              <w:jc w:val="center"/>
              <w:rPr>
                <w:rFonts w:ascii="Times" w:hAnsi="Times"/>
                <w:b/>
                <w:sz w:val="18"/>
                <w:szCs w:val="18"/>
                <w:lang w:val="en-US"/>
              </w:rPr>
            </w:pPr>
            <w:r w:rsidRPr="00F51788">
              <w:rPr>
                <w:rFonts w:ascii="Times" w:hAnsi="Times"/>
                <w:b/>
                <w:sz w:val="18"/>
                <w:szCs w:val="18"/>
                <w:lang w:val="en-GB"/>
              </w:rPr>
              <w:t>Coincident maximum power demand</w:t>
            </w:r>
            <w:r w:rsidRPr="00F51788">
              <w:rPr>
                <w:rFonts w:ascii="Times" w:hAnsi="Times"/>
                <w:b/>
                <w:sz w:val="18"/>
                <w:szCs w:val="18"/>
                <w:lang w:val="en-US"/>
              </w:rPr>
              <w:t xml:space="preserve">, </w:t>
            </w:r>
            <w:r w:rsidRPr="00F51788">
              <w:rPr>
                <w:rFonts w:ascii="Times" w:hAnsi="Times"/>
                <w:b/>
                <w:sz w:val="18"/>
                <w:szCs w:val="18"/>
                <w:lang w:val="en-US"/>
              </w:rPr>
              <w:lastRenderedPageBreak/>
              <w:t>MW</w:t>
            </w:r>
            <w:r>
              <w:rPr>
                <w:rFonts w:ascii="Times" w:hAnsi="Times"/>
                <w:b/>
                <w:sz w:val="18"/>
                <w:szCs w:val="18"/>
                <w:lang w:val="en-US"/>
              </w:rPr>
              <w:t xml:space="preserve"> (</w:t>
            </w:r>
            <w:r>
              <w:rPr>
                <w:rFonts w:ascii="Times" w:hAnsi="Times"/>
                <w:b/>
                <w:sz w:val="18"/>
                <w:szCs w:val="18"/>
                <w:lang w:val="en-GB"/>
              </w:rPr>
              <w:t>with UPS of Russia)</w:t>
            </w:r>
          </w:p>
        </w:tc>
        <w:tc>
          <w:tcPr>
            <w:tcW w:w="850" w:type="dxa"/>
            <w:tcBorders>
              <w:top w:val="single" w:sz="4" w:space="0" w:color="000000"/>
              <w:left w:val="single" w:sz="4" w:space="0" w:color="000000"/>
              <w:bottom w:val="single" w:sz="4" w:space="0" w:color="000000"/>
              <w:right w:val="single" w:sz="4" w:space="0" w:color="000000"/>
            </w:tcBorders>
          </w:tcPr>
          <w:p w:rsidR="00041A34" w:rsidRPr="00F51788" w:rsidRDefault="00041A34" w:rsidP="00BD52C5">
            <w:pPr>
              <w:snapToGrid w:val="0"/>
              <w:ind w:left="-45" w:right="-45"/>
              <w:jc w:val="center"/>
              <w:rPr>
                <w:rFonts w:ascii="Times" w:hAnsi="Times"/>
                <w:b/>
                <w:sz w:val="18"/>
                <w:szCs w:val="18"/>
                <w:lang w:val="en-US"/>
              </w:rPr>
            </w:pPr>
            <w:r w:rsidRPr="00F51788">
              <w:rPr>
                <w:rFonts w:ascii="Times" w:hAnsi="Times"/>
                <w:b/>
                <w:sz w:val="18"/>
                <w:szCs w:val="18"/>
                <w:lang w:val="en-GB"/>
              </w:rPr>
              <w:lastRenderedPageBreak/>
              <w:t>Capacity reserve</w:t>
            </w:r>
            <w:r w:rsidRPr="00F51788">
              <w:rPr>
                <w:rFonts w:ascii="Times" w:hAnsi="Times"/>
                <w:b/>
                <w:sz w:val="18"/>
                <w:szCs w:val="18"/>
                <w:lang w:val="en-US"/>
              </w:rPr>
              <w:t>, %</w:t>
            </w:r>
          </w:p>
        </w:tc>
      </w:tr>
      <w:tr w:rsidR="00041A34" w:rsidRPr="00CA1091" w:rsidTr="00BD52C5">
        <w:trPr>
          <w:trHeight w:val="567"/>
          <w:jc w:val="center"/>
        </w:trPr>
        <w:tc>
          <w:tcPr>
            <w:tcW w:w="680" w:type="dxa"/>
            <w:tcBorders>
              <w:top w:val="single" w:sz="4" w:space="0" w:color="000000"/>
              <w:left w:val="single" w:sz="4" w:space="0" w:color="000000"/>
              <w:bottom w:val="single" w:sz="4" w:space="0" w:color="000000"/>
            </w:tcBorders>
            <w:vAlign w:val="center"/>
          </w:tcPr>
          <w:p w:rsidR="00041A34" w:rsidRPr="006776D5" w:rsidRDefault="00041A34" w:rsidP="00BD52C5">
            <w:pPr>
              <w:snapToGrid w:val="0"/>
              <w:ind w:left="-57" w:right="-57"/>
              <w:jc w:val="center"/>
              <w:rPr>
                <w:rFonts w:ascii="Times" w:hAnsi="Times"/>
                <w:sz w:val="18"/>
                <w:szCs w:val="18"/>
                <w:lang w:val="ru-RU"/>
              </w:rPr>
            </w:pPr>
            <w:r>
              <w:rPr>
                <w:rFonts w:ascii="Times" w:hAnsi="Times"/>
                <w:sz w:val="18"/>
                <w:szCs w:val="18"/>
                <w:lang w:val="en-GB"/>
              </w:rPr>
              <w:t>Nord-West IPS</w:t>
            </w:r>
          </w:p>
        </w:tc>
        <w:tc>
          <w:tcPr>
            <w:tcW w:w="833" w:type="dxa"/>
            <w:tcBorders>
              <w:top w:val="single" w:sz="4" w:space="0" w:color="000000"/>
              <w:left w:val="single" w:sz="4" w:space="0" w:color="000000"/>
              <w:bottom w:val="single" w:sz="4" w:space="0" w:color="000000"/>
              <w:right w:val="single" w:sz="4" w:space="0" w:color="000000"/>
            </w:tcBorders>
            <w:vAlign w:val="center"/>
          </w:tcPr>
          <w:p w:rsidR="00041A34" w:rsidRPr="00041A34" w:rsidRDefault="00041A34" w:rsidP="00BD52C5">
            <w:pPr>
              <w:snapToGrid w:val="0"/>
              <w:ind w:left="-57" w:right="-57"/>
              <w:jc w:val="center"/>
              <w:rPr>
                <w:rFonts w:ascii="Times" w:hAnsi="Times"/>
                <w:sz w:val="18"/>
                <w:szCs w:val="18"/>
                <w:lang w:val="ru-RU"/>
              </w:rPr>
            </w:pPr>
            <w:r>
              <w:rPr>
                <w:rFonts w:ascii="Times" w:hAnsi="Times"/>
                <w:sz w:val="18"/>
                <w:szCs w:val="18"/>
                <w:lang w:val="ru-RU"/>
              </w:rPr>
              <w:t>19960</w:t>
            </w:r>
          </w:p>
        </w:tc>
        <w:tc>
          <w:tcPr>
            <w:tcW w:w="1247" w:type="dxa"/>
            <w:tcBorders>
              <w:top w:val="single" w:sz="4" w:space="0" w:color="000000"/>
              <w:left w:val="single" w:sz="4" w:space="0" w:color="000000"/>
              <w:bottom w:val="single" w:sz="4" w:space="0" w:color="000000"/>
              <w:right w:val="single" w:sz="4" w:space="0" w:color="000000"/>
            </w:tcBorders>
            <w:vAlign w:val="center"/>
          </w:tcPr>
          <w:p w:rsidR="00041A34" w:rsidRPr="00041A34" w:rsidRDefault="00041A34" w:rsidP="00BD52C5">
            <w:pPr>
              <w:snapToGrid w:val="0"/>
              <w:ind w:left="-57" w:right="-57"/>
              <w:jc w:val="center"/>
              <w:rPr>
                <w:rFonts w:ascii="Times" w:hAnsi="Times"/>
                <w:sz w:val="18"/>
                <w:szCs w:val="18"/>
                <w:lang w:val="ru-RU"/>
              </w:rPr>
            </w:pPr>
            <w:r>
              <w:rPr>
                <w:rFonts w:ascii="Times" w:hAnsi="Times"/>
                <w:sz w:val="18"/>
                <w:szCs w:val="18"/>
                <w:lang w:val="ru-RU"/>
              </w:rPr>
              <w:t>5674</w:t>
            </w:r>
          </w:p>
        </w:tc>
        <w:tc>
          <w:tcPr>
            <w:tcW w:w="993" w:type="dxa"/>
            <w:tcBorders>
              <w:top w:val="single" w:sz="4" w:space="0" w:color="000000"/>
              <w:left w:val="single" w:sz="4" w:space="0" w:color="000000"/>
              <w:bottom w:val="single" w:sz="4" w:space="0" w:color="000000"/>
              <w:right w:val="single" w:sz="4" w:space="0" w:color="000000"/>
            </w:tcBorders>
            <w:vAlign w:val="center"/>
          </w:tcPr>
          <w:p w:rsidR="00041A34" w:rsidRPr="00D6584B" w:rsidRDefault="00041A34" w:rsidP="00BD52C5">
            <w:pPr>
              <w:snapToGrid w:val="0"/>
              <w:ind w:left="-45" w:right="-45"/>
              <w:jc w:val="center"/>
              <w:rPr>
                <w:rFonts w:ascii="Times" w:hAnsi="Times"/>
                <w:sz w:val="18"/>
                <w:szCs w:val="18"/>
                <w:lang w:val="en-US"/>
              </w:rPr>
            </w:pPr>
            <w:r>
              <w:rPr>
                <w:rFonts w:ascii="Times" w:hAnsi="Times"/>
                <w:sz w:val="18"/>
                <w:szCs w:val="18"/>
                <w:lang w:val="en-US"/>
              </w:rPr>
              <w:t>16470</w:t>
            </w:r>
          </w:p>
        </w:tc>
        <w:tc>
          <w:tcPr>
            <w:tcW w:w="850" w:type="dxa"/>
            <w:tcBorders>
              <w:top w:val="single" w:sz="4" w:space="0" w:color="000000"/>
              <w:left w:val="single" w:sz="4" w:space="0" w:color="000000"/>
              <w:bottom w:val="single" w:sz="4" w:space="0" w:color="000000"/>
              <w:right w:val="single" w:sz="4" w:space="0" w:color="000000"/>
            </w:tcBorders>
            <w:vAlign w:val="center"/>
          </w:tcPr>
          <w:p w:rsidR="00041A34" w:rsidRPr="00041A34" w:rsidRDefault="00041A34" w:rsidP="00BD52C5">
            <w:pPr>
              <w:snapToGrid w:val="0"/>
              <w:ind w:left="-45" w:right="-45"/>
              <w:jc w:val="center"/>
              <w:rPr>
                <w:rFonts w:ascii="Times" w:hAnsi="Times"/>
                <w:sz w:val="18"/>
                <w:szCs w:val="18"/>
                <w:lang w:val="ru-RU"/>
              </w:rPr>
            </w:pPr>
            <w:r>
              <w:rPr>
                <w:rFonts w:ascii="Times" w:hAnsi="Times"/>
                <w:sz w:val="18"/>
                <w:szCs w:val="18"/>
                <w:lang w:val="ru-RU"/>
              </w:rPr>
              <w:t>21</w:t>
            </w:r>
          </w:p>
        </w:tc>
      </w:tr>
      <w:tr w:rsidR="00041A34" w:rsidRPr="00CA1091" w:rsidTr="00BD52C5">
        <w:trPr>
          <w:trHeight w:val="567"/>
          <w:jc w:val="center"/>
        </w:trPr>
        <w:tc>
          <w:tcPr>
            <w:tcW w:w="680" w:type="dxa"/>
            <w:tcBorders>
              <w:top w:val="single" w:sz="4" w:space="0" w:color="000000"/>
              <w:left w:val="single" w:sz="4" w:space="0" w:color="000000"/>
              <w:bottom w:val="single" w:sz="4" w:space="0" w:color="000000"/>
            </w:tcBorders>
            <w:vAlign w:val="center"/>
          </w:tcPr>
          <w:p w:rsidR="00041A34" w:rsidRPr="006776D5" w:rsidRDefault="00041A34" w:rsidP="00BD52C5">
            <w:pPr>
              <w:snapToGrid w:val="0"/>
              <w:ind w:left="-57" w:right="-57"/>
              <w:jc w:val="center"/>
              <w:rPr>
                <w:rFonts w:ascii="Times" w:hAnsi="Times"/>
                <w:sz w:val="18"/>
                <w:szCs w:val="18"/>
                <w:lang w:val="en-US"/>
              </w:rPr>
            </w:pPr>
            <w:r>
              <w:rPr>
                <w:rFonts w:ascii="Times" w:hAnsi="Times"/>
                <w:sz w:val="18"/>
                <w:szCs w:val="18"/>
                <w:lang w:val="en-US"/>
              </w:rPr>
              <w:t>Central IPS</w:t>
            </w:r>
          </w:p>
        </w:tc>
        <w:tc>
          <w:tcPr>
            <w:tcW w:w="833" w:type="dxa"/>
            <w:tcBorders>
              <w:top w:val="single" w:sz="4" w:space="0" w:color="000000"/>
              <w:left w:val="single" w:sz="4" w:space="0" w:color="000000"/>
              <w:bottom w:val="single" w:sz="4" w:space="0" w:color="000000"/>
              <w:right w:val="single" w:sz="4" w:space="0" w:color="000000"/>
            </w:tcBorders>
            <w:vAlign w:val="center"/>
          </w:tcPr>
          <w:p w:rsidR="00041A34" w:rsidRPr="00041A34" w:rsidRDefault="00041A34" w:rsidP="00BD52C5">
            <w:pPr>
              <w:snapToGrid w:val="0"/>
              <w:ind w:left="-57" w:right="-57"/>
              <w:jc w:val="center"/>
              <w:rPr>
                <w:rFonts w:ascii="Times" w:hAnsi="Times"/>
                <w:sz w:val="18"/>
                <w:szCs w:val="18"/>
                <w:lang w:val="ru-RU"/>
              </w:rPr>
            </w:pPr>
            <w:r>
              <w:rPr>
                <w:rFonts w:ascii="Times" w:hAnsi="Times"/>
                <w:sz w:val="18"/>
                <w:szCs w:val="18"/>
                <w:lang w:val="ru-RU"/>
              </w:rPr>
              <w:t>38094</w:t>
            </w:r>
          </w:p>
        </w:tc>
        <w:tc>
          <w:tcPr>
            <w:tcW w:w="1247" w:type="dxa"/>
            <w:tcBorders>
              <w:top w:val="single" w:sz="4" w:space="0" w:color="000000"/>
              <w:left w:val="single" w:sz="4" w:space="0" w:color="000000"/>
              <w:bottom w:val="single" w:sz="4" w:space="0" w:color="000000"/>
              <w:right w:val="single" w:sz="4" w:space="0" w:color="000000"/>
            </w:tcBorders>
            <w:vAlign w:val="center"/>
          </w:tcPr>
          <w:p w:rsidR="00041A34" w:rsidRPr="00041A34" w:rsidRDefault="00041A34" w:rsidP="00BD52C5">
            <w:pPr>
              <w:snapToGrid w:val="0"/>
              <w:ind w:left="-57" w:right="-57"/>
              <w:jc w:val="center"/>
              <w:rPr>
                <w:rFonts w:ascii="Times" w:hAnsi="Times"/>
                <w:sz w:val="18"/>
                <w:szCs w:val="18"/>
                <w:lang w:val="ru-RU"/>
              </w:rPr>
            </w:pPr>
            <w:r>
              <w:rPr>
                <w:rFonts w:ascii="Times" w:hAnsi="Times"/>
                <w:sz w:val="18"/>
                <w:szCs w:val="18"/>
                <w:lang w:val="ru-RU"/>
              </w:rPr>
              <w:t>5703</w:t>
            </w:r>
          </w:p>
        </w:tc>
        <w:tc>
          <w:tcPr>
            <w:tcW w:w="993" w:type="dxa"/>
            <w:tcBorders>
              <w:top w:val="single" w:sz="4" w:space="0" w:color="000000"/>
              <w:left w:val="single" w:sz="4" w:space="0" w:color="000000"/>
              <w:bottom w:val="single" w:sz="4" w:space="0" w:color="000000"/>
              <w:right w:val="single" w:sz="4" w:space="0" w:color="000000"/>
            </w:tcBorders>
            <w:vAlign w:val="center"/>
          </w:tcPr>
          <w:p w:rsidR="00041A34" w:rsidRPr="00F51788" w:rsidRDefault="00041A34" w:rsidP="00BD52C5">
            <w:pPr>
              <w:snapToGrid w:val="0"/>
              <w:ind w:left="-45" w:right="-45"/>
              <w:jc w:val="center"/>
              <w:rPr>
                <w:rFonts w:ascii="Times" w:hAnsi="Times"/>
                <w:sz w:val="18"/>
                <w:szCs w:val="18"/>
                <w:lang w:val="ru-RU"/>
              </w:rPr>
            </w:pPr>
            <w:r>
              <w:rPr>
                <w:rFonts w:ascii="Times" w:hAnsi="Times"/>
                <w:sz w:val="18"/>
                <w:szCs w:val="18"/>
                <w:lang w:val="en-GB"/>
              </w:rPr>
              <w:t>37120</w:t>
            </w:r>
          </w:p>
        </w:tc>
        <w:tc>
          <w:tcPr>
            <w:tcW w:w="850" w:type="dxa"/>
            <w:tcBorders>
              <w:top w:val="single" w:sz="4" w:space="0" w:color="000000"/>
              <w:left w:val="single" w:sz="4" w:space="0" w:color="000000"/>
              <w:bottom w:val="single" w:sz="4" w:space="0" w:color="000000"/>
              <w:right w:val="single" w:sz="4" w:space="0" w:color="000000"/>
            </w:tcBorders>
            <w:vAlign w:val="center"/>
          </w:tcPr>
          <w:p w:rsidR="00041A34" w:rsidRPr="00041A34" w:rsidRDefault="00041A34" w:rsidP="00BD52C5">
            <w:pPr>
              <w:snapToGrid w:val="0"/>
              <w:ind w:left="-45" w:right="-45"/>
              <w:jc w:val="center"/>
              <w:rPr>
                <w:rFonts w:ascii="Times" w:hAnsi="Times"/>
                <w:sz w:val="18"/>
                <w:szCs w:val="18"/>
                <w:lang w:val="ru-RU"/>
              </w:rPr>
            </w:pPr>
            <w:r>
              <w:rPr>
                <w:rFonts w:ascii="Times" w:hAnsi="Times"/>
                <w:sz w:val="18"/>
                <w:szCs w:val="18"/>
                <w:lang w:val="ru-RU"/>
              </w:rPr>
              <w:t>5,6</w:t>
            </w:r>
          </w:p>
        </w:tc>
      </w:tr>
      <w:tr w:rsidR="00041A34" w:rsidRPr="00CA1091" w:rsidTr="00BD52C5">
        <w:trPr>
          <w:trHeight w:val="567"/>
          <w:jc w:val="center"/>
        </w:trPr>
        <w:tc>
          <w:tcPr>
            <w:tcW w:w="680" w:type="dxa"/>
            <w:tcBorders>
              <w:top w:val="single" w:sz="4" w:space="0" w:color="000000"/>
              <w:left w:val="single" w:sz="4" w:space="0" w:color="000000"/>
              <w:bottom w:val="single" w:sz="4" w:space="0" w:color="000000"/>
            </w:tcBorders>
            <w:vAlign w:val="center"/>
          </w:tcPr>
          <w:p w:rsidR="00041A34" w:rsidRPr="006776D5" w:rsidRDefault="00041A34" w:rsidP="00BD52C5">
            <w:pPr>
              <w:snapToGrid w:val="0"/>
              <w:ind w:left="-57" w:right="-57"/>
              <w:jc w:val="center"/>
              <w:rPr>
                <w:rFonts w:ascii="Times" w:hAnsi="Times"/>
                <w:sz w:val="18"/>
                <w:szCs w:val="18"/>
                <w:lang w:val="en-US"/>
              </w:rPr>
            </w:pPr>
            <w:r>
              <w:rPr>
                <w:rFonts w:ascii="Times" w:hAnsi="Times"/>
                <w:sz w:val="18"/>
                <w:szCs w:val="18"/>
                <w:lang w:val="en-GB"/>
              </w:rPr>
              <w:t>South IPS</w:t>
            </w:r>
          </w:p>
        </w:tc>
        <w:tc>
          <w:tcPr>
            <w:tcW w:w="833" w:type="dxa"/>
            <w:tcBorders>
              <w:top w:val="single" w:sz="4" w:space="0" w:color="000000"/>
              <w:left w:val="single" w:sz="4" w:space="0" w:color="000000"/>
              <w:bottom w:val="single" w:sz="4" w:space="0" w:color="000000"/>
              <w:right w:val="single" w:sz="4" w:space="0" w:color="000000"/>
            </w:tcBorders>
            <w:vAlign w:val="center"/>
          </w:tcPr>
          <w:p w:rsidR="00041A34" w:rsidRPr="00041A34" w:rsidRDefault="00041A34" w:rsidP="00BD52C5">
            <w:pPr>
              <w:snapToGrid w:val="0"/>
              <w:ind w:left="-57" w:right="-57"/>
              <w:jc w:val="center"/>
              <w:rPr>
                <w:rFonts w:ascii="Times" w:hAnsi="Times"/>
                <w:sz w:val="18"/>
                <w:szCs w:val="18"/>
                <w:lang w:val="ru-RU"/>
              </w:rPr>
            </w:pPr>
            <w:r>
              <w:rPr>
                <w:rFonts w:ascii="Times" w:hAnsi="Times"/>
                <w:sz w:val="18"/>
                <w:szCs w:val="18"/>
                <w:lang w:val="ru-RU"/>
              </w:rPr>
              <w:t>18810</w:t>
            </w:r>
          </w:p>
        </w:tc>
        <w:tc>
          <w:tcPr>
            <w:tcW w:w="1247" w:type="dxa"/>
            <w:tcBorders>
              <w:top w:val="single" w:sz="4" w:space="0" w:color="000000"/>
              <w:left w:val="single" w:sz="4" w:space="0" w:color="000000"/>
              <w:bottom w:val="single" w:sz="4" w:space="0" w:color="000000"/>
              <w:right w:val="single" w:sz="4" w:space="0" w:color="000000"/>
            </w:tcBorders>
            <w:vAlign w:val="center"/>
          </w:tcPr>
          <w:p w:rsidR="00041A34" w:rsidRPr="00041A34" w:rsidRDefault="00041A34" w:rsidP="00BD52C5">
            <w:pPr>
              <w:snapToGrid w:val="0"/>
              <w:ind w:left="-57" w:right="-57"/>
              <w:jc w:val="center"/>
              <w:rPr>
                <w:rFonts w:ascii="Times" w:hAnsi="Times"/>
                <w:sz w:val="18"/>
                <w:szCs w:val="18"/>
                <w:lang w:val="ru-RU"/>
              </w:rPr>
            </w:pPr>
            <w:r>
              <w:rPr>
                <w:rFonts w:ascii="Times" w:hAnsi="Times"/>
                <w:sz w:val="18"/>
                <w:szCs w:val="18"/>
                <w:lang w:val="ru-RU"/>
              </w:rPr>
              <w:t>2984</w:t>
            </w:r>
          </w:p>
        </w:tc>
        <w:tc>
          <w:tcPr>
            <w:tcW w:w="993" w:type="dxa"/>
            <w:tcBorders>
              <w:top w:val="single" w:sz="4" w:space="0" w:color="000000"/>
              <w:left w:val="single" w:sz="4" w:space="0" w:color="000000"/>
              <w:bottom w:val="single" w:sz="4" w:space="0" w:color="000000"/>
              <w:right w:val="single" w:sz="4" w:space="0" w:color="000000"/>
            </w:tcBorders>
            <w:vAlign w:val="center"/>
          </w:tcPr>
          <w:p w:rsidR="00041A34" w:rsidRDefault="00041A34" w:rsidP="00BD52C5">
            <w:pPr>
              <w:snapToGrid w:val="0"/>
              <w:ind w:left="-45" w:right="-45"/>
              <w:jc w:val="center"/>
              <w:rPr>
                <w:rFonts w:ascii="Times" w:hAnsi="Times"/>
                <w:sz w:val="18"/>
                <w:szCs w:val="18"/>
                <w:lang w:val="en-GB"/>
              </w:rPr>
            </w:pPr>
            <w:r>
              <w:rPr>
                <w:rFonts w:ascii="Times" w:hAnsi="Times"/>
                <w:sz w:val="18"/>
                <w:szCs w:val="18"/>
                <w:lang w:val="en-GB"/>
              </w:rPr>
              <w:t>17840</w:t>
            </w:r>
          </w:p>
        </w:tc>
        <w:tc>
          <w:tcPr>
            <w:tcW w:w="850" w:type="dxa"/>
            <w:tcBorders>
              <w:top w:val="single" w:sz="4" w:space="0" w:color="000000"/>
              <w:left w:val="single" w:sz="4" w:space="0" w:color="000000"/>
              <w:bottom w:val="single" w:sz="4" w:space="0" w:color="000000"/>
              <w:right w:val="single" w:sz="4" w:space="0" w:color="000000"/>
            </w:tcBorders>
            <w:vAlign w:val="center"/>
          </w:tcPr>
          <w:p w:rsidR="00041A34" w:rsidRPr="00041A34" w:rsidRDefault="00041A34" w:rsidP="00BD52C5">
            <w:pPr>
              <w:snapToGrid w:val="0"/>
              <w:ind w:left="-45" w:right="-45"/>
              <w:jc w:val="center"/>
              <w:rPr>
                <w:rFonts w:ascii="Times" w:hAnsi="Times"/>
                <w:sz w:val="18"/>
                <w:szCs w:val="18"/>
                <w:lang w:val="ru-RU"/>
              </w:rPr>
            </w:pPr>
            <w:r>
              <w:rPr>
                <w:rFonts w:ascii="Times" w:hAnsi="Times"/>
                <w:sz w:val="18"/>
                <w:szCs w:val="18"/>
                <w:lang w:val="ru-RU"/>
              </w:rPr>
              <w:t>5,4</w:t>
            </w:r>
          </w:p>
        </w:tc>
      </w:tr>
      <w:tr w:rsidR="00041A34" w:rsidRPr="00CA1091" w:rsidTr="00BD52C5">
        <w:trPr>
          <w:trHeight w:val="567"/>
          <w:jc w:val="center"/>
        </w:trPr>
        <w:tc>
          <w:tcPr>
            <w:tcW w:w="680" w:type="dxa"/>
            <w:tcBorders>
              <w:top w:val="single" w:sz="4" w:space="0" w:color="000000"/>
              <w:left w:val="single" w:sz="4" w:space="0" w:color="000000"/>
              <w:bottom w:val="single" w:sz="4" w:space="0" w:color="000000"/>
            </w:tcBorders>
            <w:vAlign w:val="center"/>
          </w:tcPr>
          <w:p w:rsidR="00041A34" w:rsidRPr="00CA1091" w:rsidRDefault="00041A34" w:rsidP="00BD52C5">
            <w:pPr>
              <w:snapToGrid w:val="0"/>
              <w:ind w:left="-57" w:right="-57"/>
              <w:jc w:val="center"/>
              <w:rPr>
                <w:rFonts w:ascii="Times" w:hAnsi="Times"/>
                <w:sz w:val="18"/>
                <w:szCs w:val="18"/>
                <w:lang w:val="en-GB"/>
              </w:rPr>
            </w:pPr>
            <w:r>
              <w:rPr>
                <w:rFonts w:ascii="Times" w:hAnsi="Times"/>
                <w:sz w:val="18"/>
                <w:szCs w:val="18"/>
                <w:lang w:val="en-GB"/>
              </w:rPr>
              <w:t>Middle Volga IPS</w:t>
            </w:r>
          </w:p>
        </w:tc>
        <w:tc>
          <w:tcPr>
            <w:tcW w:w="833" w:type="dxa"/>
            <w:tcBorders>
              <w:top w:val="single" w:sz="4" w:space="0" w:color="000000"/>
              <w:left w:val="single" w:sz="4" w:space="0" w:color="000000"/>
              <w:bottom w:val="single" w:sz="4" w:space="0" w:color="000000"/>
              <w:right w:val="single" w:sz="4" w:space="0" w:color="000000"/>
            </w:tcBorders>
            <w:vAlign w:val="center"/>
          </w:tcPr>
          <w:p w:rsidR="00041A34" w:rsidRPr="00041A34" w:rsidRDefault="00041A34" w:rsidP="00BD52C5">
            <w:pPr>
              <w:snapToGrid w:val="0"/>
              <w:ind w:left="-57" w:right="-57"/>
              <w:jc w:val="center"/>
              <w:rPr>
                <w:rFonts w:ascii="Times" w:hAnsi="Times"/>
                <w:sz w:val="18"/>
                <w:szCs w:val="18"/>
                <w:lang w:val="ru-RU"/>
              </w:rPr>
            </w:pPr>
            <w:r>
              <w:rPr>
                <w:rFonts w:ascii="Times" w:hAnsi="Times"/>
                <w:sz w:val="18"/>
                <w:szCs w:val="18"/>
                <w:lang w:val="ru-RU"/>
              </w:rPr>
              <w:t>19562</w:t>
            </w:r>
          </w:p>
        </w:tc>
        <w:tc>
          <w:tcPr>
            <w:tcW w:w="1247" w:type="dxa"/>
            <w:tcBorders>
              <w:top w:val="single" w:sz="4" w:space="0" w:color="000000"/>
              <w:left w:val="single" w:sz="4" w:space="0" w:color="000000"/>
              <w:bottom w:val="single" w:sz="4" w:space="0" w:color="000000"/>
              <w:right w:val="single" w:sz="4" w:space="0" w:color="000000"/>
            </w:tcBorders>
            <w:vAlign w:val="center"/>
          </w:tcPr>
          <w:p w:rsidR="00041A34" w:rsidRPr="00041A34" w:rsidRDefault="00041A34" w:rsidP="00BD52C5">
            <w:pPr>
              <w:snapToGrid w:val="0"/>
              <w:ind w:left="-57" w:right="-57"/>
              <w:jc w:val="center"/>
              <w:rPr>
                <w:rFonts w:ascii="Times" w:hAnsi="Times"/>
                <w:sz w:val="18"/>
                <w:szCs w:val="18"/>
                <w:lang w:val="ru-RU"/>
              </w:rPr>
            </w:pPr>
            <w:r>
              <w:rPr>
                <w:rFonts w:ascii="Times" w:hAnsi="Times"/>
                <w:sz w:val="18"/>
                <w:szCs w:val="18"/>
                <w:lang w:val="ru-RU"/>
              </w:rPr>
              <w:t>5619</w:t>
            </w:r>
          </w:p>
        </w:tc>
        <w:tc>
          <w:tcPr>
            <w:tcW w:w="993" w:type="dxa"/>
            <w:tcBorders>
              <w:top w:val="single" w:sz="4" w:space="0" w:color="000000"/>
              <w:left w:val="single" w:sz="4" w:space="0" w:color="000000"/>
              <w:bottom w:val="single" w:sz="4" w:space="0" w:color="000000"/>
              <w:right w:val="single" w:sz="4" w:space="0" w:color="000000"/>
            </w:tcBorders>
            <w:vAlign w:val="center"/>
          </w:tcPr>
          <w:p w:rsidR="00041A34" w:rsidRDefault="00041A34" w:rsidP="00BD52C5">
            <w:pPr>
              <w:snapToGrid w:val="0"/>
              <w:ind w:left="-45" w:right="-45"/>
              <w:jc w:val="center"/>
              <w:rPr>
                <w:rFonts w:ascii="Times" w:hAnsi="Times"/>
                <w:sz w:val="18"/>
                <w:szCs w:val="18"/>
                <w:lang w:val="en-GB"/>
              </w:rPr>
            </w:pPr>
            <w:r>
              <w:rPr>
                <w:rFonts w:ascii="Times" w:hAnsi="Times"/>
                <w:sz w:val="18"/>
                <w:szCs w:val="18"/>
                <w:lang w:val="en-GB"/>
              </w:rPr>
              <w:t>16953</w:t>
            </w:r>
          </w:p>
        </w:tc>
        <w:tc>
          <w:tcPr>
            <w:tcW w:w="850" w:type="dxa"/>
            <w:tcBorders>
              <w:top w:val="single" w:sz="4" w:space="0" w:color="000000"/>
              <w:left w:val="single" w:sz="4" w:space="0" w:color="000000"/>
              <w:bottom w:val="single" w:sz="4" w:space="0" w:color="000000"/>
              <w:right w:val="single" w:sz="4" w:space="0" w:color="000000"/>
            </w:tcBorders>
            <w:vAlign w:val="center"/>
          </w:tcPr>
          <w:p w:rsidR="00041A34" w:rsidRPr="00041A34" w:rsidRDefault="00041A34" w:rsidP="00BD52C5">
            <w:pPr>
              <w:snapToGrid w:val="0"/>
              <w:ind w:left="-45" w:right="-45"/>
              <w:jc w:val="center"/>
              <w:rPr>
                <w:rFonts w:ascii="Times" w:hAnsi="Times"/>
                <w:sz w:val="18"/>
                <w:szCs w:val="18"/>
                <w:lang w:val="ru-RU"/>
              </w:rPr>
            </w:pPr>
            <w:r>
              <w:rPr>
                <w:rFonts w:ascii="Times" w:hAnsi="Times"/>
                <w:sz w:val="18"/>
                <w:szCs w:val="18"/>
                <w:lang w:val="ru-RU"/>
              </w:rPr>
              <w:t>15,4</w:t>
            </w:r>
          </w:p>
        </w:tc>
      </w:tr>
      <w:tr w:rsidR="00041A34" w:rsidRPr="00CA1091" w:rsidTr="00BD52C5">
        <w:trPr>
          <w:trHeight w:val="567"/>
          <w:jc w:val="center"/>
        </w:trPr>
        <w:tc>
          <w:tcPr>
            <w:tcW w:w="680" w:type="dxa"/>
            <w:tcBorders>
              <w:top w:val="single" w:sz="4" w:space="0" w:color="000000"/>
              <w:left w:val="single" w:sz="4" w:space="0" w:color="000000"/>
              <w:bottom w:val="single" w:sz="4" w:space="0" w:color="000000"/>
            </w:tcBorders>
            <w:vAlign w:val="center"/>
          </w:tcPr>
          <w:p w:rsidR="00041A34" w:rsidRPr="00CA1091" w:rsidRDefault="00041A34" w:rsidP="00BD52C5">
            <w:pPr>
              <w:snapToGrid w:val="0"/>
              <w:ind w:left="-57" w:right="-57"/>
              <w:jc w:val="center"/>
              <w:rPr>
                <w:rFonts w:ascii="Times" w:hAnsi="Times"/>
                <w:sz w:val="18"/>
                <w:szCs w:val="18"/>
                <w:lang w:val="en-GB"/>
              </w:rPr>
            </w:pPr>
            <w:r>
              <w:rPr>
                <w:rFonts w:ascii="Times" w:hAnsi="Times"/>
                <w:sz w:val="18"/>
                <w:szCs w:val="18"/>
                <w:lang w:val="en-GB"/>
              </w:rPr>
              <w:t>Ural IPS</w:t>
            </w:r>
          </w:p>
        </w:tc>
        <w:tc>
          <w:tcPr>
            <w:tcW w:w="833" w:type="dxa"/>
            <w:tcBorders>
              <w:top w:val="single" w:sz="4" w:space="0" w:color="000000"/>
              <w:left w:val="single" w:sz="4" w:space="0" w:color="000000"/>
              <w:bottom w:val="single" w:sz="4" w:space="0" w:color="000000"/>
              <w:right w:val="single" w:sz="4" w:space="0" w:color="000000"/>
            </w:tcBorders>
            <w:vAlign w:val="center"/>
          </w:tcPr>
          <w:p w:rsidR="00041A34" w:rsidRPr="00041A34" w:rsidRDefault="00041A34" w:rsidP="00BD52C5">
            <w:pPr>
              <w:snapToGrid w:val="0"/>
              <w:ind w:left="-57" w:right="-57"/>
              <w:jc w:val="center"/>
              <w:rPr>
                <w:rFonts w:ascii="Times" w:hAnsi="Times"/>
                <w:sz w:val="18"/>
                <w:szCs w:val="18"/>
                <w:lang w:val="ru-RU"/>
              </w:rPr>
            </w:pPr>
            <w:r>
              <w:rPr>
                <w:rFonts w:ascii="Times" w:hAnsi="Times"/>
                <w:sz w:val="18"/>
                <w:szCs w:val="18"/>
                <w:lang w:val="ru-RU"/>
              </w:rPr>
              <w:t>43690</w:t>
            </w:r>
          </w:p>
        </w:tc>
        <w:tc>
          <w:tcPr>
            <w:tcW w:w="1247" w:type="dxa"/>
            <w:tcBorders>
              <w:top w:val="single" w:sz="4" w:space="0" w:color="000000"/>
              <w:left w:val="single" w:sz="4" w:space="0" w:color="000000"/>
              <w:bottom w:val="single" w:sz="4" w:space="0" w:color="000000"/>
              <w:right w:val="single" w:sz="4" w:space="0" w:color="000000"/>
            </w:tcBorders>
            <w:vAlign w:val="center"/>
          </w:tcPr>
          <w:p w:rsidR="00041A34" w:rsidRPr="00041A34" w:rsidRDefault="00041A34" w:rsidP="00BD52C5">
            <w:pPr>
              <w:snapToGrid w:val="0"/>
              <w:ind w:left="-57" w:right="-57"/>
              <w:jc w:val="center"/>
              <w:rPr>
                <w:rFonts w:ascii="Times" w:hAnsi="Times"/>
                <w:sz w:val="18"/>
                <w:szCs w:val="18"/>
                <w:lang w:val="ru-RU"/>
              </w:rPr>
            </w:pPr>
            <w:r>
              <w:rPr>
                <w:rFonts w:ascii="Times" w:hAnsi="Times"/>
                <w:sz w:val="18"/>
                <w:szCs w:val="18"/>
                <w:lang w:val="ru-RU"/>
              </w:rPr>
              <w:t>7619</w:t>
            </w:r>
          </w:p>
        </w:tc>
        <w:tc>
          <w:tcPr>
            <w:tcW w:w="993" w:type="dxa"/>
            <w:tcBorders>
              <w:top w:val="single" w:sz="4" w:space="0" w:color="000000"/>
              <w:left w:val="single" w:sz="4" w:space="0" w:color="000000"/>
              <w:bottom w:val="single" w:sz="4" w:space="0" w:color="000000"/>
              <w:right w:val="single" w:sz="4" w:space="0" w:color="000000"/>
            </w:tcBorders>
            <w:vAlign w:val="center"/>
          </w:tcPr>
          <w:p w:rsidR="00041A34" w:rsidRDefault="00041A34" w:rsidP="00BD52C5">
            <w:pPr>
              <w:snapToGrid w:val="0"/>
              <w:ind w:left="-45" w:right="-45"/>
              <w:jc w:val="center"/>
              <w:rPr>
                <w:rFonts w:ascii="Times" w:hAnsi="Times"/>
                <w:sz w:val="18"/>
                <w:szCs w:val="18"/>
                <w:lang w:val="en-GB"/>
              </w:rPr>
            </w:pPr>
            <w:r>
              <w:rPr>
                <w:rFonts w:ascii="Times" w:hAnsi="Times"/>
                <w:sz w:val="18"/>
                <w:szCs w:val="18"/>
                <w:lang w:val="en-GB"/>
              </w:rPr>
              <w:t>38820</w:t>
            </w:r>
          </w:p>
        </w:tc>
        <w:tc>
          <w:tcPr>
            <w:tcW w:w="850" w:type="dxa"/>
            <w:tcBorders>
              <w:top w:val="single" w:sz="4" w:space="0" w:color="000000"/>
              <w:left w:val="single" w:sz="4" w:space="0" w:color="000000"/>
              <w:bottom w:val="single" w:sz="4" w:space="0" w:color="000000"/>
              <w:right w:val="single" w:sz="4" w:space="0" w:color="000000"/>
            </w:tcBorders>
            <w:vAlign w:val="center"/>
          </w:tcPr>
          <w:p w:rsidR="00041A34" w:rsidRPr="00041A34" w:rsidRDefault="00041A34" w:rsidP="00BD52C5">
            <w:pPr>
              <w:snapToGrid w:val="0"/>
              <w:ind w:left="-45" w:right="-45"/>
              <w:jc w:val="center"/>
              <w:rPr>
                <w:rFonts w:ascii="Times" w:hAnsi="Times"/>
                <w:sz w:val="18"/>
                <w:szCs w:val="18"/>
                <w:lang w:val="ru-RU"/>
              </w:rPr>
            </w:pPr>
            <w:r>
              <w:rPr>
                <w:rFonts w:ascii="Times" w:hAnsi="Times"/>
                <w:sz w:val="18"/>
                <w:szCs w:val="18"/>
                <w:lang w:val="ru-RU"/>
              </w:rPr>
              <w:t>12,5</w:t>
            </w:r>
          </w:p>
        </w:tc>
      </w:tr>
      <w:tr w:rsidR="00041A34" w:rsidRPr="00CA1091" w:rsidTr="00BD52C5">
        <w:trPr>
          <w:trHeight w:val="567"/>
          <w:jc w:val="center"/>
        </w:trPr>
        <w:tc>
          <w:tcPr>
            <w:tcW w:w="680" w:type="dxa"/>
            <w:tcBorders>
              <w:top w:val="single" w:sz="4" w:space="0" w:color="000000"/>
              <w:left w:val="single" w:sz="4" w:space="0" w:color="000000"/>
              <w:bottom w:val="single" w:sz="4" w:space="0" w:color="000000"/>
            </w:tcBorders>
            <w:vAlign w:val="center"/>
          </w:tcPr>
          <w:p w:rsidR="00041A34" w:rsidRPr="00CA1091" w:rsidRDefault="00041A34" w:rsidP="00BD52C5">
            <w:pPr>
              <w:snapToGrid w:val="0"/>
              <w:ind w:left="-57" w:right="-57"/>
              <w:jc w:val="center"/>
              <w:rPr>
                <w:rFonts w:ascii="Times" w:hAnsi="Times"/>
                <w:sz w:val="18"/>
                <w:szCs w:val="18"/>
                <w:lang w:val="en-GB"/>
              </w:rPr>
            </w:pPr>
            <w:r>
              <w:rPr>
                <w:rFonts w:ascii="Times" w:hAnsi="Times"/>
                <w:sz w:val="18"/>
                <w:szCs w:val="18"/>
                <w:lang w:val="en-GB"/>
              </w:rPr>
              <w:t>Siberia IPS</w:t>
            </w:r>
          </w:p>
        </w:tc>
        <w:tc>
          <w:tcPr>
            <w:tcW w:w="833" w:type="dxa"/>
            <w:tcBorders>
              <w:top w:val="single" w:sz="4" w:space="0" w:color="000000"/>
              <w:left w:val="single" w:sz="4" w:space="0" w:color="000000"/>
              <w:bottom w:val="single" w:sz="4" w:space="0" w:color="000000"/>
              <w:right w:val="single" w:sz="4" w:space="0" w:color="000000"/>
            </w:tcBorders>
            <w:vAlign w:val="center"/>
          </w:tcPr>
          <w:p w:rsidR="00041A34" w:rsidRPr="00041A34" w:rsidRDefault="00041A34" w:rsidP="00BD52C5">
            <w:pPr>
              <w:snapToGrid w:val="0"/>
              <w:ind w:left="-57" w:right="-57"/>
              <w:jc w:val="center"/>
              <w:rPr>
                <w:rFonts w:ascii="Times" w:hAnsi="Times"/>
                <w:sz w:val="18"/>
                <w:szCs w:val="18"/>
                <w:lang w:val="ru-RU"/>
              </w:rPr>
            </w:pPr>
            <w:r>
              <w:rPr>
                <w:rFonts w:ascii="Times" w:hAnsi="Times"/>
                <w:sz w:val="18"/>
                <w:szCs w:val="18"/>
                <w:lang w:val="ru-RU"/>
              </w:rPr>
              <w:t>35090</w:t>
            </w:r>
          </w:p>
        </w:tc>
        <w:tc>
          <w:tcPr>
            <w:tcW w:w="1247" w:type="dxa"/>
            <w:tcBorders>
              <w:top w:val="single" w:sz="4" w:space="0" w:color="000000"/>
              <w:left w:val="single" w:sz="4" w:space="0" w:color="000000"/>
              <w:bottom w:val="single" w:sz="4" w:space="0" w:color="000000"/>
              <w:right w:val="single" w:sz="4" w:space="0" w:color="000000"/>
            </w:tcBorders>
            <w:vAlign w:val="center"/>
          </w:tcPr>
          <w:p w:rsidR="00041A34" w:rsidRPr="00041A34" w:rsidRDefault="00041A34" w:rsidP="00BD52C5">
            <w:pPr>
              <w:snapToGrid w:val="0"/>
              <w:ind w:left="-57" w:right="-57"/>
              <w:jc w:val="center"/>
              <w:rPr>
                <w:rFonts w:ascii="Times" w:hAnsi="Times"/>
                <w:sz w:val="18"/>
                <w:szCs w:val="18"/>
                <w:lang w:val="ru-RU"/>
              </w:rPr>
            </w:pPr>
            <w:r>
              <w:rPr>
                <w:rFonts w:ascii="Times" w:hAnsi="Times"/>
                <w:sz w:val="18"/>
                <w:szCs w:val="18"/>
                <w:lang w:val="ru-RU"/>
              </w:rPr>
              <w:t>3454</w:t>
            </w:r>
          </w:p>
        </w:tc>
        <w:tc>
          <w:tcPr>
            <w:tcW w:w="993" w:type="dxa"/>
            <w:tcBorders>
              <w:top w:val="single" w:sz="4" w:space="0" w:color="000000"/>
              <w:left w:val="single" w:sz="4" w:space="0" w:color="000000"/>
              <w:bottom w:val="single" w:sz="4" w:space="0" w:color="000000"/>
              <w:right w:val="single" w:sz="4" w:space="0" w:color="000000"/>
            </w:tcBorders>
            <w:vAlign w:val="center"/>
          </w:tcPr>
          <w:p w:rsidR="00041A34" w:rsidRDefault="00041A34" w:rsidP="00BD52C5">
            <w:pPr>
              <w:snapToGrid w:val="0"/>
              <w:ind w:left="-45" w:right="-45"/>
              <w:jc w:val="center"/>
              <w:rPr>
                <w:rFonts w:ascii="Times" w:hAnsi="Times"/>
                <w:sz w:val="18"/>
                <w:szCs w:val="18"/>
                <w:lang w:val="en-GB"/>
              </w:rPr>
            </w:pPr>
            <w:r>
              <w:rPr>
                <w:rFonts w:ascii="Times" w:hAnsi="Times"/>
                <w:sz w:val="18"/>
                <w:szCs w:val="18"/>
                <w:lang w:val="en-GB"/>
              </w:rPr>
              <w:t>31483</w:t>
            </w:r>
          </w:p>
        </w:tc>
        <w:tc>
          <w:tcPr>
            <w:tcW w:w="850" w:type="dxa"/>
            <w:tcBorders>
              <w:top w:val="single" w:sz="4" w:space="0" w:color="000000"/>
              <w:left w:val="single" w:sz="4" w:space="0" w:color="000000"/>
              <w:bottom w:val="single" w:sz="4" w:space="0" w:color="000000"/>
              <w:right w:val="single" w:sz="4" w:space="0" w:color="000000"/>
            </w:tcBorders>
            <w:vAlign w:val="center"/>
          </w:tcPr>
          <w:p w:rsidR="00041A34" w:rsidRPr="00041A34" w:rsidRDefault="00041A34" w:rsidP="00BD52C5">
            <w:pPr>
              <w:snapToGrid w:val="0"/>
              <w:ind w:left="-45" w:right="-45"/>
              <w:jc w:val="center"/>
              <w:rPr>
                <w:rFonts w:ascii="Times" w:hAnsi="Times"/>
                <w:sz w:val="18"/>
                <w:szCs w:val="18"/>
                <w:lang w:val="ru-RU"/>
              </w:rPr>
            </w:pPr>
            <w:r>
              <w:rPr>
                <w:rFonts w:ascii="Times" w:hAnsi="Times"/>
                <w:sz w:val="18"/>
                <w:szCs w:val="18"/>
                <w:lang w:val="ru-RU"/>
              </w:rPr>
              <w:t>11,5</w:t>
            </w:r>
          </w:p>
        </w:tc>
      </w:tr>
      <w:tr w:rsidR="00041A34" w:rsidRPr="00CA1091" w:rsidTr="00BD52C5">
        <w:trPr>
          <w:trHeight w:val="567"/>
          <w:jc w:val="center"/>
        </w:trPr>
        <w:tc>
          <w:tcPr>
            <w:tcW w:w="680" w:type="dxa"/>
            <w:tcBorders>
              <w:top w:val="single" w:sz="4" w:space="0" w:color="000000"/>
              <w:left w:val="single" w:sz="4" w:space="0" w:color="000000"/>
              <w:bottom w:val="single" w:sz="4" w:space="0" w:color="000000"/>
            </w:tcBorders>
            <w:vAlign w:val="center"/>
          </w:tcPr>
          <w:p w:rsidR="00041A34" w:rsidRPr="0007589F" w:rsidRDefault="00041A34" w:rsidP="00BD52C5">
            <w:pPr>
              <w:snapToGrid w:val="0"/>
              <w:ind w:left="-57" w:right="-57"/>
              <w:jc w:val="center"/>
              <w:rPr>
                <w:rFonts w:ascii="Times" w:hAnsi="Times"/>
                <w:sz w:val="18"/>
                <w:szCs w:val="18"/>
                <w:lang w:val="en-US"/>
              </w:rPr>
            </w:pPr>
            <w:r>
              <w:rPr>
                <w:rFonts w:ascii="Times" w:hAnsi="Times"/>
                <w:sz w:val="18"/>
                <w:szCs w:val="18"/>
                <w:lang w:val="en-US"/>
              </w:rPr>
              <w:t>East IPS</w:t>
            </w:r>
          </w:p>
        </w:tc>
        <w:tc>
          <w:tcPr>
            <w:tcW w:w="833" w:type="dxa"/>
            <w:tcBorders>
              <w:top w:val="single" w:sz="4" w:space="0" w:color="000000"/>
              <w:left w:val="single" w:sz="4" w:space="0" w:color="000000"/>
              <w:bottom w:val="single" w:sz="4" w:space="0" w:color="000000"/>
              <w:right w:val="single" w:sz="4" w:space="0" w:color="000000"/>
            </w:tcBorders>
            <w:vAlign w:val="center"/>
          </w:tcPr>
          <w:p w:rsidR="00041A34" w:rsidRPr="00041A34" w:rsidRDefault="00041A34" w:rsidP="00BD52C5">
            <w:pPr>
              <w:snapToGrid w:val="0"/>
              <w:ind w:left="-57" w:right="-57"/>
              <w:jc w:val="center"/>
              <w:rPr>
                <w:rFonts w:ascii="Times" w:hAnsi="Times"/>
                <w:sz w:val="18"/>
                <w:szCs w:val="18"/>
                <w:lang w:val="ru-RU"/>
              </w:rPr>
            </w:pPr>
            <w:r>
              <w:rPr>
                <w:rFonts w:ascii="Times" w:hAnsi="Times"/>
                <w:sz w:val="18"/>
                <w:szCs w:val="18"/>
                <w:lang w:val="ru-RU"/>
              </w:rPr>
              <w:t>8696</w:t>
            </w:r>
          </w:p>
        </w:tc>
        <w:tc>
          <w:tcPr>
            <w:tcW w:w="1247" w:type="dxa"/>
            <w:tcBorders>
              <w:top w:val="single" w:sz="4" w:space="0" w:color="000000"/>
              <w:left w:val="single" w:sz="4" w:space="0" w:color="000000"/>
              <w:bottom w:val="single" w:sz="4" w:space="0" w:color="000000"/>
              <w:right w:val="single" w:sz="4" w:space="0" w:color="000000"/>
            </w:tcBorders>
            <w:vAlign w:val="center"/>
          </w:tcPr>
          <w:p w:rsidR="00041A34" w:rsidRPr="00041A34" w:rsidRDefault="00041A34" w:rsidP="00BD52C5">
            <w:pPr>
              <w:snapToGrid w:val="0"/>
              <w:ind w:left="-57" w:right="-57"/>
              <w:jc w:val="center"/>
              <w:rPr>
                <w:rFonts w:ascii="Times" w:hAnsi="Times"/>
                <w:sz w:val="18"/>
                <w:szCs w:val="18"/>
                <w:lang w:val="ru-RU"/>
              </w:rPr>
            </w:pPr>
            <w:r>
              <w:rPr>
                <w:rFonts w:ascii="Times" w:hAnsi="Times"/>
                <w:sz w:val="18"/>
                <w:szCs w:val="18"/>
                <w:lang w:val="ru-RU"/>
              </w:rPr>
              <w:t>3147</w:t>
            </w:r>
          </w:p>
        </w:tc>
        <w:tc>
          <w:tcPr>
            <w:tcW w:w="993" w:type="dxa"/>
            <w:tcBorders>
              <w:top w:val="single" w:sz="4" w:space="0" w:color="000000"/>
              <w:left w:val="single" w:sz="4" w:space="0" w:color="000000"/>
              <w:bottom w:val="single" w:sz="4" w:space="0" w:color="000000"/>
              <w:right w:val="single" w:sz="4" w:space="0" w:color="000000"/>
            </w:tcBorders>
            <w:vAlign w:val="center"/>
          </w:tcPr>
          <w:p w:rsidR="00041A34" w:rsidRPr="00D6584B" w:rsidRDefault="00041A34" w:rsidP="00BD52C5">
            <w:pPr>
              <w:snapToGrid w:val="0"/>
              <w:ind w:left="-45" w:right="-45"/>
              <w:jc w:val="center"/>
              <w:rPr>
                <w:rFonts w:ascii="Times" w:hAnsi="Times"/>
                <w:sz w:val="18"/>
                <w:szCs w:val="18"/>
                <w:lang w:val="en-US"/>
              </w:rPr>
            </w:pPr>
            <w:r>
              <w:rPr>
                <w:rFonts w:ascii="Times" w:hAnsi="Times"/>
                <w:sz w:val="18"/>
                <w:szCs w:val="18"/>
                <w:lang w:val="en-US"/>
              </w:rPr>
              <w:t>7137</w:t>
            </w:r>
          </w:p>
        </w:tc>
        <w:tc>
          <w:tcPr>
            <w:tcW w:w="850" w:type="dxa"/>
            <w:tcBorders>
              <w:top w:val="single" w:sz="4" w:space="0" w:color="000000"/>
              <w:left w:val="single" w:sz="4" w:space="0" w:color="000000"/>
              <w:bottom w:val="single" w:sz="4" w:space="0" w:color="000000"/>
              <w:right w:val="single" w:sz="4" w:space="0" w:color="000000"/>
            </w:tcBorders>
            <w:vAlign w:val="center"/>
          </w:tcPr>
          <w:p w:rsidR="00041A34" w:rsidRPr="00041A34" w:rsidRDefault="00041A34" w:rsidP="00BD52C5">
            <w:pPr>
              <w:snapToGrid w:val="0"/>
              <w:ind w:left="-45" w:right="-45"/>
              <w:jc w:val="center"/>
              <w:rPr>
                <w:rFonts w:ascii="Times" w:hAnsi="Times"/>
                <w:sz w:val="18"/>
                <w:szCs w:val="18"/>
                <w:lang w:val="ru-RU"/>
              </w:rPr>
            </w:pPr>
            <w:r>
              <w:rPr>
                <w:rFonts w:ascii="Times" w:hAnsi="Times"/>
                <w:sz w:val="18"/>
                <w:szCs w:val="18"/>
                <w:lang w:val="ru-RU"/>
              </w:rPr>
              <w:t>21,8</w:t>
            </w:r>
          </w:p>
        </w:tc>
      </w:tr>
    </w:tbl>
    <w:p w:rsidR="00EF1D2A" w:rsidRDefault="00EF1D2A" w:rsidP="00F43F05">
      <w:pPr>
        <w:ind w:firstLine="284"/>
        <w:jc w:val="both"/>
        <w:rPr>
          <w:rFonts w:ascii="Times" w:hAnsi="Times"/>
          <w:sz w:val="20"/>
          <w:lang w:val="en-US"/>
        </w:rPr>
      </w:pPr>
    </w:p>
    <w:p w:rsidR="00EF1D2A" w:rsidRDefault="008130F0" w:rsidP="00F43F05">
      <w:pPr>
        <w:ind w:firstLine="284"/>
        <w:jc w:val="both"/>
        <w:rPr>
          <w:rFonts w:ascii="Times" w:hAnsi="Times"/>
          <w:sz w:val="20"/>
          <w:lang w:val="en-US"/>
        </w:rPr>
      </w:pPr>
      <w:r w:rsidRPr="008130F0">
        <w:rPr>
          <w:rFonts w:ascii="Times" w:hAnsi="Times"/>
          <w:sz w:val="20"/>
          <w:lang w:val="en-US"/>
        </w:rPr>
        <w:t xml:space="preserve">After the calculations, in which the generating capacities were </w:t>
      </w:r>
      <w:r w:rsidR="00E60847" w:rsidRPr="00E60847">
        <w:rPr>
          <w:rFonts w:ascii="Times" w:hAnsi="Times"/>
          <w:sz w:val="20"/>
          <w:lang w:val="en-US"/>
        </w:rPr>
        <w:t>disconnect</w:t>
      </w:r>
      <w:r w:rsidR="00E60847">
        <w:rPr>
          <w:rFonts w:ascii="Times" w:hAnsi="Times"/>
          <w:sz w:val="20"/>
          <w:lang w:val="en-US"/>
        </w:rPr>
        <w:t>ed</w:t>
      </w:r>
      <w:r w:rsidRPr="008130F0">
        <w:rPr>
          <w:rFonts w:ascii="Times" w:hAnsi="Times"/>
          <w:sz w:val="20"/>
          <w:lang w:val="en-US"/>
        </w:rPr>
        <w:t>, it was determined that to ensure the probability of deficit-free operation in the reliability zones of the UES of Russia at the level of 0.999, 183,902 MW of available capacity is sufficient, of which 18,700 MW are reserves of various types.</w:t>
      </w:r>
    </w:p>
    <w:p w:rsidR="00E60847" w:rsidRDefault="00E60847" w:rsidP="00F43F05">
      <w:pPr>
        <w:ind w:firstLine="284"/>
        <w:jc w:val="both"/>
        <w:rPr>
          <w:rFonts w:ascii="Times" w:hAnsi="Times"/>
          <w:sz w:val="20"/>
          <w:lang w:val="en-US"/>
        </w:rPr>
      </w:pPr>
      <w:r w:rsidRPr="00E60847">
        <w:rPr>
          <w:rFonts w:ascii="Times" w:hAnsi="Times"/>
          <w:sz w:val="20"/>
          <w:lang w:val="en-US"/>
        </w:rPr>
        <w:t xml:space="preserve">It can be seen from </w:t>
      </w:r>
      <w:r w:rsidR="00A365E3">
        <w:rPr>
          <w:rFonts w:ascii="Times" w:hAnsi="Times"/>
          <w:sz w:val="20"/>
          <w:lang w:val="en-US"/>
        </w:rPr>
        <w:t>t</w:t>
      </w:r>
      <w:r w:rsidRPr="00E60847">
        <w:rPr>
          <w:rFonts w:ascii="Times" w:hAnsi="Times"/>
          <w:sz w:val="20"/>
          <w:lang w:val="en-US"/>
        </w:rPr>
        <w:t>able 4 that the distribution of generating capacity reserves calculated</w:t>
      </w:r>
      <w:r w:rsidR="00A365E3">
        <w:rPr>
          <w:rFonts w:ascii="Times" w:hAnsi="Times"/>
          <w:sz w:val="20"/>
          <w:lang w:val="en-US"/>
        </w:rPr>
        <w:t xml:space="preserve"> of IPSs </w:t>
      </w:r>
      <w:r w:rsidRPr="00E60847">
        <w:rPr>
          <w:rFonts w:ascii="Times" w:hAnsi="Times"/>
          <w:sz w:val="20"/>
          <w:lang w:val="en-US"/>
        </w:rPr>
        <w:t xml:space="preserve">is rather uneven. This is due to the strong ties between the zones of reliability of neighboring IESs, which make it possible to redistribute </w:t>
      </w:r>
      <w:r w:rsidR="00A365E3" w:rsidRPr="00E60847">
        <w:rPr>
          <w:rFonts w:ascii="Times" w:hAnsi="Times"/>
          <w:sz w:val="20"/>
          <w:lang w:val="en-US"/>
        </w:rPr>
        <w:t>re</w:t>
      </w:r>
      <w:r w:rsidR="00A365E3">
        <w:rPr>
          <w:rFonts w:ascii="Times" w:hAnsi="Times"/>
          <w:sz w:val="20"/>
          <w:lang w:val="en-US"/>
        </w:rPr>
        <w:t>dundancies</w:t>
      </w:r>
      <w:r w:rsidRPr="00E60847">
        <w:rPr>
          <w:rFonts w:ascii="Times" w:hAnsi="Times"/>
          <w:sz w:val="20"/>
          <w:lang w:val="en-US"/>
        </w:rPr>
        <w:t xml:space="preserve"> of generating capacity between zones of reliability, including between different </w:t>
      </w:r>
      <w:r w:rsidR="000E19B7">
        <w:rPr>
          <w:rFonts w:ascii="Times" w:hAnsi="Times"/>
          <w:sz w:val="20"/>
          <w:lang w:val="en-US"/>
        </w:rPr>
        <w:t>IPS</w:t>
      </w:r>
      <w:r w:rsidRPr="00E60847">
        <w:rPr>
          <w:rFonts w:ascii="Times" w:hAnsi="Times"/>
          <w:sz w:val="20"/>
          <w:lang w:val="en-US"/>
        </w:rPr>
        <w:t xml:space="preserve">, and to carry out power flows to maintain the required level of </w:t>
      </w:r>
      <w:r w:rsidR="00A365E3">
        <w:rPr>
          <w:rFonts w:ascii="Times" w:hAnsi="Times"/>
          <w:sz w:val="20"/>
          <w:lang w:val="en-US"/>
        </w:rPr>
        <w:t>adequacy</w:t>
      </w:r>
      <w:r w:rsidRPr="00E60847">
        <w:rPr>
          <w:rFonts w:ascii="Times" w:hAnsi="Times"/>
          <w:sz w:val="20"/>
          <w:lang w:val="en-US"/>
        </w:rPr>
        <w:t xml:space="preserve">. </w:t>
      </w:r>
      <w:r w:rsidR="00A365E3" w:rsidRPr="00E60847">
        <w:rPr>
          <w:rFonts w:ascii="Times" w:hAnsi="Times"/>
          <w:sz w:val="20"/>
          <w:lang w:val="en-US"/>
        </w:rPr>
        <w:t>So,</w:t>
      </w:r>
      <w:r w:rsidRPr="00E60847">
        <w:rPr>
          <w:rFonts w:ascii="Times" w:hAnsi="Times"/>
          <w:sz w:val="20"/>
          <w:lang w:val="en-US"/>
        </w:rPr>
        <w:t xml:space="preserve"> you can see that, for example, in the </w:t>
      </w:r>
      <w:r w:rsidR="00A365E3" w:rsidRPr="00E60847">
        <w:rPr>
          <w:rFonts w:ascii="Times" w:hAnsi="Times"/>
          <w:sz w:val="20"/>
          <w:lang w:val="en-US"/>
        </w:rPr>
        <w:t>Cent</w:t>
      </w:r>
      <w:r w:rsidR="00A365E3">
        <w:rPr>
          <w:rFonts w:ascii="Times" w:hAnsi="Times"/>
          <w:sz w:val="20"/>
          <w:lang w:val="en-US"/>
        </w:rPr>
        <w:t>ral</w:t>
      </w:r>
      <w:r w:rsidR="00A365E3" w:rsidRPr="00E60847">
        <w:rPr>
          <w:rFonts w:ascii="Times" w:hAnsi="Times"/>
          <w:sz w:val="20"/>
          <w:lang w:val="en-US"/>
        </w:rPr>
        <w:t xml:space="preserve"> </w:t>
      </w:r>
      <w:r w:rsidRPr="00E60847">
        <w:rPr>
          <w:rFonts w:ascii="Times" w:hAnsi="Times"/>
          <w:sz w:val="20"/>
          <w:lang w:val="en-US"/>
        </w:rPr>
        <w:t>I</w:t>
      </w:r>
      <w:r w:rsidR="000E19B7">
        <w:rPr>
          <w:rFonts w:ascii="Times" w:hAnsi="Times"/>
          <w:sz w:val="20"/>
          <w:lang w:val="en-US"/>
        </w:rPr>
        <w:t>P</w:t>
      </w:r>
      <w:r w:rsidRPr="00E60847">
        <w:rPr>
          <w:rFonts w:ascii="Times" w:hAnsi="Times"/>
          <w:sz w:val="20"/>
          <w:lang w:val="en-US"/>
        </w:rPr>
        <w:t xml:space="preserve">S, the value of the reserve of generating capacity is low, in this case, ensuring the standard level of probability of deficit-free operation in the </w:t>
      </w:r>
      <w:r w:rsidR="00B80519" w:rsidRPr="00E60847">
        <w:rPr>
          <w:rFonts w:ascii="Times" w:hAnsi="Times"/>
          <w:sz w:val="20"/>
          <w:lang w:val="en-US"/>
        </w:rPr>
        <w:t>Cent</w:t>
      </w:r>
      <w:r w:rsidR="00B80519">
        <w:rPr>
          <w:rFonts w:ascii="Times" w:hAnsi="Times"/>
          <w:sz w:val="20"/>
          <w:lang w:val="en-US"/>
        </w:rPr>
        <w:t>ral</w:t>
      </w:r>
      <w:r w:rsidR="00B80519" w:rsidRPr="00E60847">
        <w:rPr>
          <w:rFonts w:ascii="Times" w:hAnsi="Times"/>
          <w:sz w:val="20"/>
          <w:lang w:val="en-US"/>
        </w:rPr>
        <w:t xml:space="preserve"> I</w:t>
      </w:r>
      <w:r w:rsidR="00B80519">
        <w:rPr>
          <w:rFonts w:ascii="Times" w:hAnsi="Times"/>
          <w:sz w:val="20"/>
          <w:lang w:val="en-US"/>
        </w:rPr>
        <w:t>P</w:t>
      </w:r>
      <w:r w:rsidR="00B80519" w:rsidRPr="00E60847">
        <w:rPr>
          <w:rFonts w:ascii="Times" w:hAnsi="Times"/>
          <w:sz w:val="20"/>
          <w:lang w:val="en-US"/>
        </w:rPr>
        <w:t>S</w:t>
      </w:r>
      <w:r w:rsidRPr="00E60847">
        <w:rPr>
          <w:rFonts w:ascii="Times" w:hAnsi="Times"/>
          <w:sz w:val="20"/>
          <w:lang w:val="en-US"/>
        </w:rPr>
        <w:t xml:space="preserve"> depends on power flows from other I</w:t>
      </w:r>
      <w:r w:rsidR="000E19B7">
        <w:rPr>
          <w:rFonts w:ascii="Times" w:hAnsi="Times"/>
          <w:sz w:val="20"/>
          <w:lang w:val="en-US"/>
        </w:rPr>
        <w:t>P</w:t>
      </w:r>
      <w:r w:rsidRPr="00E60847">
        <w:rPr>
          <w:rFonts w:ascii="Times" w:hAnsi="Times"/>
          <w:sz w:val="20"/>
          <w:lang w:val="en-US"/>
        </w:rPr>
        <w:t>Ss. The high level of redundancy in the</w:t>
      </w:r>
      <w:r w:rsidR="00B80519" w:rsidRPr="00B80519">
        <w:rPr>
          <w:rFonts w:ascii="Times" w:hAnsi="Times"/>
          <w:sz w:val="20"/>
          <w:lang w:val="en-US"/>
        </w:rPr>
        <w:t xml:space="preserve"> </w:t>
      </w:r>
      <w:r w:rsidR="00B80519" w:rsidRPr="00E60847">
        <w:rPr>
          <w:rFonts w:ascii="Times" w:hAnsi="Times"/>
          <w:sz w:val="20"/>
          <w:lang w:val="en-US"/>
        </w:rPr>
        <w:t>East</w:t>
      </w:r>
      <w:r w:rsidRPr="00E60847">
        <w:rPr>
          <w:rFonts w:ascii="Times" w:hAnsi="Times"/>
          <w:sz w:val="20"/>
          <w:lang w:val="en-US"/>
        </w:rPr>
        <w:t xml:space="preserve"> I</w:t>
      </w:r>
      <w:r w:rsidR="000E19B7">
        <w:rPr>
          <w:rFonts w:ascii="Times" w:hAnsi="Times"/>
          <w:sz w:val="20"/>
          <w:lang w:val="en-US"/>
        </w:rPr>
        <w:t>P</w:t>
      </w:r>
      <w:r w:rsidRPr="00E60847">
        <w:rPr>
          <w:rFonts w:ascii="Times" w:hAnsi="Times"/>
          <w:sz w:val="20"/>
          <w:lang w:val="en-US"/>
        </w:rPr>
        <w:t xml:space="preserve">S is explained by the specifics of the structure of generating capacities. In the power balance of </w:t>
      </w:r>
      <w:r w:rsidR="000E19B7" w:rsidRPr="00E60847">
        <w:rPr>
          <w:rFonts w:ascii="Times" w:hAnsi="Times"/>
          <w:sz w:val="20"/>
          <w:lang w:val="en-US"/>
        </w:rPr>
        <w:t xml:space="preserve">East </w:t>
      </w:r>
      <w:r w:rsidRPr="00E60847">
        <w:rPr>
          <w:rFonts w:ascii="Times" w:hAnsi="Times"/>
          <w:sz w:val="20"/>
          <w:lang w:val="en-US"/>
        </w:rPr>
        <w:t>I</w:t>
      </w:r>
      <w:r w:rsidR="000E19B7">
        <w:rPr>
          <w:rFonts w:ascii="Times" w:hAnsi="Times"/>
          <w:sz w:val="20"/>
          <w:lang w:val="en-US"/>
        </w:rPr>
        <w:t>P</w:t>
      </w:r>
      <w:r w:rsidRPr="00E60847">
        <w:rPr>
          <w:rFonts w:ascii="Times" w:hAnsi="Times"/>
          <w:sz w:val="20"/>
          <w:lang w:val="en-US"/>
        </w:rPr>
        <w:t xml:space="preserve">S there are about 40% of hydroelectric power </w:t>
      </w:r>
      <w:r w:rsidR="00B80519">
        <w:rPr>
          <w:rFonts w:ascii="Times" w:hAnsi="Times"/>
          <w:sz w:val="20"/>
          <w:lang w:val="en-US"/>
        </w:rPr>
        <w:t>stations</w:t>
      </w:r>
      <w:r w:rsidRPr="00E60847">
        <w:rPr>
          <w:rFonts w:ascii="Times" w:hAnsi="Times"/>
          <w:sz w:val="20"/>
          <w:lang w:val="en-US"/>
        </w:rPr>
        <w:t xml:space="preserve">, the output of generating units of which was not carried out when determining the reserves of generating capacity corresponding to the standard values ​​of the probability of deficit-free operation. This condition influenced the level of redundancy of the </w:t>
      </w:r>
      <w:r w:rsidR="000E19B7" w:rsidRPr="00E60847">
        <w:rPr>
          <w:rFonts w:ascii="Times" w:hAnsi="Times"/>
          <w:sz w:val="20"/>
          <w:lang w:val="en-US"/>
        </w:rPr>
        <w:t xml:space="preserve">East </w:t>
      </w:r>
      <w:r w:rsidRPr="00E60847">
        <w:rPr>
          <w:rFonts w:ascii="Times" w:hAnsi="Times"/>
          <w:sz w:val="20"/>
          <w:lang w:val="en-US"/>
        </w:rPr>
        <w:t>I</w:t>
      </w:r>
      <w:r w:rsidR="000E19B7">
        <w:rPr>
          <w:rFonts w:ascii="Times" w:hAnsi="Times"/>
          <w:sz w:val="20"/>
          <w:lang w:val="en-US"/>
        </w:rPr>
        <w:t>P</w:t>
      </w:r>
      <w:r w:rsidRPr="00E60847">
        <w:rPr>
          <w:rFonts w:ascii="Times" w:hAnsi="Times"/>
          <w:sz w:val="20"/>
          <w:lang w:val="en-US"/>
        </w:rPr>
        <w:t>S.</w:t>
      </w:r>
    </w:p>
    <w:p w:rsidR="00E60847" w:rsidRPr="00CA1091" w:rsidRDefault="00E60847" w:rsidP="00E60847">
      <w:pPr>
        <w:spacing w:before="340" w:after="170"/>
        <w:jc w:val="both"/>
        <w:rPr>
          <w:rFonts w:ascii="Arial" w:hAnsi="Arial" w:cs="Arial"/>
          <w:b/>
          <w:caps/>
          <w:szCs w:val="24"/>
          <w:lang w:val="en-GB"/>
        </w:rPr>
      </w:pPr>
      <w:r>
        <w:rPr>
          <w:rFonts w:ascii="Arial" w:hAnsi="Arial" w:cs="Arial"/>
          <w:b/>
          <w:szCs w:val="24"/>
          <w:lang w:val="en-US"/>
        </w:rPr>
        <w:t>Conclusion</w:t>
      </w:r>
      <w:r w:rsidRPr="00CA1091">
        <w:rPr>
          <w:rFonts w:ascii="Arial" w:hAnsi="Arial" w:cs="Arial"/>
          <w:b/>
          <w:caps/>
          <w:szCs w:val="24"/>
          <w:lang w:val="en-GB"/>
        </w:rPr>
        <w:t xml:space="preserve"> </w:t>
      </w:r>
    </w:p>
    <w:p w:rsidR="008130F0" w:rsidRDefault="00B80519" w:rsidP="00F43F05">
      <w:pPr>
        <w:ind w:firstLine="284"/>
        <w:jc w:val="both"/>
        <w:rPr>
          <w:rFonts w:ascii="Times" w:hAnsi="Times"/>
          <w:sz w:val="20"/>
          <w:lang w:val="en-US"/>
        </w:rPr>
      </w:pPr>
      <w:r w:rsidRPr="00B80519">
        <w:rPr>
          <w:rFonts w:ascii="Times" w:hAnsi="Times"/>
          <w:sz w:val="20"/>
          <w:lang w:val="en-US"/>
        </w:rPr>
        <w:t xml:space="preserve">Determination of the rational level of generating capacity </w:t>
      </w:r>
      <w:r>
        <w:rPr>
          <w:rFonts w:ascii="Times" w:hAnsi="Times"/>
          <w:sz w:val="20"/>
          <w:lang w:val="en-US"/>
        </w:rPr>
        <w:t xml:space="preserve">reserve </w:t>
      </w:r>
      <w:r w:rsidRPr="00B80519">
        <w:rPr>
          <w:rFonts w:ascii="Times" w:hAnsi="Times"/>
          <w:sz w:val="20"/>
          <w:lang w:val="en-US"/>
        </w:rPr>
        <w:t>in modern conditions of long-term planning of the development of power systems is a mandatory procedure and should be carried out when drawing up development plans for the U</w:t>
      </w:r>
      <w:r w:rsidR="00902BF7">
        <w:rPr>
          <w:rFonts w:ascii="Times" w:hAnsi="Times"/>
          <w:sz w:val="20"/>
          <w:lang w:val="en-US"/>
        </w:rPr>
        <w:t>P</w:t>
      </w:r>
      <w:r w:rsidRPr="00B80519">
        <w:rPr>
          <w:rFonts w:ascii="Times" w:hAnsi="Times"/>
          <w:sz w:val="20"/>
          <w:lang w:val="en-US"/>
        </w:rPr>
        <w:t>S of Russia. The rational level of generating capacity</w:t>
      </w:r>
      <w:r w:rsidR="00837419">
        <w:rPr>
          <w:rFonts w:ascii="Times" w:hAnsi="Times"/>
          <w:sz w:val="20"/>
          <w:lang w:val="en-US"/>
        </w:rPr>
        <w:t xml:space="preserve"> reserve</w:t>
      </w:r>
      <w:r w:rsidRPr="00B80519">
        <w:rPr>
          <w:rFonts w:ascii="Times" w:hAnsi="Times"/>
          <w:sz w:val="20"/>
          <w:lang w:val="en-US"/>
        </w:rPr>
        <w:t xml:space="preserve"> is determined when solving the optimization problem. For different conditions of the functioning and development of the power system, the optimization problem can have different target functions and a set of restrictions. In </w:t>
      </w:r>
      <w:r w:rsidRPr="00B80519">
        <w:rPr>
          <w:rFonts w:ascii="Times" w:hAnsi="Times"/>
          <w:sz w:val="20"/>
          <w:lang w:val="en-US"/>
        </w:rPr>
        <w:t>modern conditions of development, the U</w:t>
      </w:r>
      <w:r w:rsidR="00902BF7">
        <w:rPr>
          <w:rFonts w:ascii="Times" w:hAnsi="Times"/>
          <w:sz w:val="20"/>
          <w:lang w:val="en-US"/>
        </w:rPr>
        <w:t>P</w:t>
      </w:r>
      <w:r w:rsidRPr="00B80519">
        <w:rPr>
          <w:rFonts w:ascii="Times" w:hAnsi="Times"/>
          <w:sz w:val="20"/>
          <w:lang w:val="en-US"/>
        </w:rPr>
        <w:t>S of Russia has accumulated a significant re</w:t>
      </w:r>
      <w:r w:rsidR="00491EAB">
        <w:rPr>
          <w:rFonts w:ascii="Times" w:hAnsi="Times"/>
          <w:sz w:val="20"/>
          <w:lang w:val="en-US"/>
        </w:rPr>
        <w:t>dundancy</w:t>
      </w:r>
      <w:r w:rsidRPr="00B80519">
        <w:rPr>
          <w:rFonts w:ascii="Times" w:hAnsi="Times"/>
          <w:sz w:val="20"/>
          <w:lang w:val="en-US"/>
        </w:rPr>
        <w:t xml:space="preserve"> of generating capacities that have exhausted their resource. Under these conditions, the objective function of the optimization problem of determining the reserve of generating capacity can be defined as maximizing the total capacity of the</w:t>
      </w:r>
      <w:r w:rsidR="006A2AA6">
        <w:rPr>
          <w:rFonts w:ascii="Times" w:hAnsi="Times"/>
          <w:sz w:val="20"/>
          <w:lang w:val="en-US"/>
        </w:rPr>
        <w:t xml:space="preserve"> disconnected</w:t>
      </w:r>
      <w:r w:rsidRPr="00B80519">
        <w:rPr>
          <w:rFonts w:ascii="Times" w:hAnsi="Times"/>
          <w:sz w:val="20"/>
          <w:lang w:val="en-US"/>
        </w:rPr>
        <w:t xml:space="preserve"> generating units or minimizing the total capacity of the generating units remaining in operation, subject to the mandatory criterion of </w:t>
      </w:r>
      <w:r w:rsidR="006A2AA6">
        <w:rPr>
          <w:rFonts w:ascii="Times" w:hAnsi="Times"/>
          <w:sz w:val="20"/>
          <w:lang w:val="en-US"/>
        </w:rPr>
        <w:t>adequacy level</w:t>
      </w:r>
      <w:r w:rsidRPr="00B80519">
        <w:rPr>
          <w:rFonts w:ascii="Times" w:hAnsi="Times"/>
          <w:sz w:val="20"/>
          <w:lang w:val="en-US"/>
        </w:rPr>
        <w:t>.</w:t>
      </w:r>
    </w:p>
    <w:p w:rsidR="00AD7368" w:rsidRDefault="006A2AA6" w:rsidP="00F43F05">
      <w:pPr>
        <w:ind w:firstLine="284"/>
        <w:jc w:val="both"/>
        <w:rPr>
          <w:rFonts w:ascii="Times" w:hAnsi="Times"/>
          <w:sz w:val="20"/>
          <w:lang w:val="en-US"/>
        </w:rPr>
      </w:pPr>
      <w:r w:rsidRPr="006A2AA6">
        <w:rPr>
          <w:rFonts w:ascii="Times" w:hAnsi="Times"/>
          <w:sz w:val="20"/>
          <w:lang w:val="en-US"/>
        </w:rPr>
        <w:t>In the article, using the example of the development plans of the U</w:t>
      </w:r>
      <w:r>
        <w:rPr>
          <w:rFonts w:ascii="Times" w:hAnsi="Times"/>
          <w:sz w:val="20"/>
          <w:lang w:val="en-US"/>
        </w:rPr>
        <w:t>P</w:t>
      </w:r>
      <w:r w:rsidRPr="006A2AA6">
        <w:rPr>
          <w:rFonts w:ascii="Times" w:hAnsi="Times"/>
          <w:sz w:val="20"/>
          <w:lang w:val="en-US"/>
        </w:rPr>
        <w:t>S of Russia for 2022, the situation with the power balance is analyzed and calculations are carried out to determine the generating capacities, without which it is possible to ensure the probability of deficit-free operation in the reliability zones of the U</w:t>
      </w:r>
      <w:r w:rsidR="00BD52C5">
        <w:rPr>
          <w:rFonts w:ascii="Times" w:hAnsi="Times"/>
          <w:sz w:val="20"/>
          <w:lang w:val="en-US"/>
        </w:rPr>
        <w:t>P</w:t>
      </w:r>
      <w:r w:rsidRPr="006A2AA6">
        <w:rPr>
          <w:rFonts w:ascii="Times" w:hAnsi="Times"/>
          <w:sz w:val="20"/>
          <w:lang w:val="en-US"/>
        </w:rPr>
        <w:t>S of Russia at the level of 0.999. In the existing development plans, the probability of a deficit-free operation in almost all reliability zones of the U</w:t>
      </w:r>
      <w:r w:rsidR="00BD52C5">
        <w:rPr>
          <w:rFonts w:ascii="Times" w:hAnsi="Times"/>
          <w:sz w:val="20"/>
          <w:lang w:val="en-US"/>
        </w:rPr>
        <w:t>P</w:t>
      </w:r>
      <w:r w:rsidRPr="006A2AA6">
        <w:rPr>
          <w:rFonts w:ascii="Times" w:hAnsi="Times"/>
          <w:sz w:val="20"/>
          <w:lang w:val="en-US"/>
        </w:rPr>
        <w:t>S of Russia is higher than the accepted standard, and the generating capacity reserve is at the level of 32%, which is economically inexpedient. During the study, it was found that to ensure the probability of deficit-free operation at the level of 0.999, it is possible without 34198 MW of generating capacities. As a result, ensuring the adopted standard for the probability of deficit-free operation is possible while maintaining the generating capacity reserve at 11.3%.</w:t>
      </w:r>
    </w:p>
    <w:p w:rsidR="00AA3EF0" w:rsidRDefault="00AA3EF0" w:rsidP="00F43F05">
      <w:pPr>
        <w:ind w:firstLine="284"/>
        <w:jc w:val="both"/>
        <w:rPr>
          <w:rFonts w:ascii="Times" w:hAnsi="Times"/>
          <w:sz w:val="20"/>
          <w:lang w:val="en-US"/>
        </w:rPr>
      </w:pPr>
    </w:p>
    <w:p w:rsidR="00AA3EF0" w:rsidRPr="00543D98" w:rsidRDefault="00AA3EF0" w:rsidP="00F43F05">
      <w:pPr>
        <w:ind w:firstLine="284"/>
        <w:jc w:val="both"/>
        <w:rPr>
          <w:rFonts w:ascii="Times" w:hAnsi="Times"/>
          <w:sz w:val="20"/>
          <w:lang w:val="en-US"/>
        </w:rPr>
      </w:pPr>
      <w:r w:rsidRPr="00AA3EF0">
        <w:rPr>
          <w:rFonts w:ascii="Times" w:hAnsi="Times"/>
          <w:sz w:val="20"/>
          <w:lang w:val="en-US"/>
        </w:rPr>
        <w:t>The reported study was funded by RFBR, project number 20-08-00550</w:t>
      </w:r>
      <w:bookmarkStart w:id="1" w:name="_GoBack"/>
      <w:bookmarkEnd w:id="1"/>
    </w:p>
    <w:p w:rsidR="002D0F6C" w:rsidRPr="005D6EEC" w:rsidRDefault="002D0F6C">
      <w:pPr>
        <w:spacing w:before="340" w:after="170"/>
        <w:jc w:val="both"/>
        <w:rPr>
          <w:rFonts w:ascii="Arial" w:hAnsi="Arial" w:cs="Arial"/>
          <w:b/>
          <w:szCs w:val="24"/>
          <w:lang w:val="ru-RU"/>
        </w:rPr>
      </w:pPr>
      <w:r w:rsidRPr="00CA1091">
        <w:rPr>
          <w:rFonts w:ascii="Arial" w:hAnsi="Arial" w:cs="Arial"/>
          <w:b/>
          <w:szCs w:val="24"/>
          <w:lang w:val="en-GB"/>
        </w:rPr>
        <w:t>References</w:t>
      </w:r>
    </w:p>
    <w:p w:rsidR="00757E78" w:rsidRDefault="00757E78" w:rsidP="005A5BC5">
      <w:pPr>
        <w:pStyle w:val="ad"/>
        <w:numPr>
          <w:ilvl w:val="0"/>
          <w:numId w:val="4"/>
        </w:numPr>
        <w:ind w:left="284" w:hanging="284"/>
        <w:jc w:val="both"/>
        <w:rPr>
          <w:rFonts w:ascii="Times" w:hAnsi="Times"/>
          <w:sz w:val="20"/>
          <w:lang w:val="ru-RU"/>
        </w:rPr>
      </w:pPr>
      <w:r w:rsidRPr="00757E78">
        <w:rPr>
          <w:rFonts w:ascii="Times" w:hAnsi="Times"/>
          <w:sz w:val="20"/>
          <w:lang w:val="en-US"/>
        </w:rPr>
        <w:t xml:space="preserve">Guidelines for designing the development of power systems. Project. Ministry of Energy of Russia. </w:t>
      </w:r>
      <w:proofErr w:type="spellStart"/>
      <w:r w:rsidRPr="00757E78">
        <w:rPr>
          <w:rFonts w:ascii="Times" w:hAnsi="Times"/>
          <w:sz w:val="20"/>
          <w:lang w:val="ru-RU"/>
        </w:rPr>
        <w:t>May</w:t>
      </w:r>
      <w:proofErr w:type="spellEnd"/>
      <w:r w:rsidRPr="00757E78">
        <w:rPr>
          <w:rFonts w:ascii="Times" w:hAnsi="Times"/>
          <w:sz w:val="20"/>
          <w:lang w:val="ru-RU"/>
        </w:rPr>
        <w:t xml:space="preserve"> 29, 2019</w:t>
      </w:r>
      <w:r>
        <w:rPr>
          <w:rFonts w:ascii="Times" w:hAnsi="Times"/>
          <w:sz w:val="20"/>
          <w:lang w:val="en-US"/>
        </w:rPr>
        <w:t xml:space="preserve"> (In Russian)</w:t>
      </w:r>
    </w:p>
    <w:p w:rsidR="004B7B94" w:rsidRPr="004B7B94" w:rsidRDefault="00B54F5D" w:rsidP="005A5BC5">
      <w:pPr>
        <w:pStyle w:val="ad"/>
        <w:numPr>
          <w:ilvl w:val="0"/>
          <w:numId w:val="4"/>
        </w:numPr>
        <w:ind w:left="284" w:hanging="284"/>
        <w:jc w:val="both"/>
        <w:rPr>
          <w:rFonts w:ascii="Times" w:hAnsi="Times"/>
          <w:sz w:val="20"/>
          <w:lang w:val="en-US"/>
        </w:rPr>
      </w:pPr>
      <w:proofErr w:type="spellStart"/>
      <w:r w:rsidRPr="00B54F5D">
        <w:rPr>
          <w:rFonts w:ascii="Times" w:hAnsi="Times"/>
          <w:sz w:val="20"/>
          <w:lang w:val="en-US"/>
        </w:rPr>
        <w:t>Rudenko</w:t>
      </w:r>
      <w:proofErr w:type="spellEnd"/>
      <w:r>
        <w:rPr>
          <w:rFonts w:ascii="Times" w:hAnsi="Times"/>
          <w:sz w:val="20"/>
          <w:lang w:val="en-US"/>
        </w:rPr>
        <w:t xml:space="preserve"> Y</w:t>
      </w:r>
      <w:r w:rsidRPr="00B54F5D">
        <w:rPr>
          <w:rFonts w:ascii="Times" w:hAnsi="Times"/>
          <w:sz w:val="20"/>
          <w:lang w:val="en-US"/>
        </w:rPr>
        <w:t xml:space="preserve">.N., </w:t>
      </w:r>
      <w:proofErr w:type="spellStart"/>
      <w:r w:rsidRPr="00B54F5D">
        <w:rPr>
          <w:rFonts w:ascii="Times" w:hAnsi="Times"/>
          <w:sz w:val="20"/>
          <w:lang w:val="en-US"/>
        </w:rPr>
        <w:t>Cheltsov</w:t>
      </w:r>
      <w:proofErr w:type="spellEnd"/>
      <w:r w:rsidR="004B7B94">
        <w:rPr>
          <w:rFonts w:ascii="Times" w:hAnsi="Times"/>
          <w:sz w:val="20"/>
          <w:lang w:val="en-US"/>
        </w:rPr>
        <w:t xml:space="preserve"> </w:t>
      </w:r>
      <w:r w:rsidRPr="00B54F5D">
        <w:rPr>
          <w:rFonts w:ascii="Times" w:hAnsi="Times"/>
          <w:sz w:val="20"/>
          <w:lang w:val="en-US"/>
        </w:rPr>
        <w:t xml:space="preserve">M.B. Reliability and redundancy in power systems. - Novosibirsk: </w:t>
      </w:r>
      <w:proofErr w:type="spellStart"/>
      <w:r w:rsidRPr="00B54F5D">
        <w:rPr>
          <w:rFonts w:ascii="Times" w:hAnsi="Times"/>
          <w:sz w:val="20"/>
          <w:lang w:val="en-US"/>
        </w:rPr>
        <w:t>Nauka</w:t>
      </w:r>
      <w:proofErr w:type="spellEnd"/>
      <w:r w:rsidRPr="00B54F5D">
        <w:rPr>
          <w:rFonts w:ascii="Times" w:hAnsi="Times"/>
          <w:sz w:val="20"/>
          <w:lang w:val="en-US"/>
        </w:rPr>
        <w:t>, 1974</w:t>
      </w:r>
      <w:r w:rsidR="004B7B94">
        <w:rPr>
          <w:rFonts w:ascii="Times" w:hAnsi="Times"/>
          <w:sz w:val="20"/>
          <w:lang w:val="en-US"/>
        </w:rPr>
        <w:t xml:space="preserve"> </w:t>
      </w:r>
      <w:r w:rsidRPr="00B54F5D">
        <w:rPr>
          <w:rFonts w:ascii="Times" w:hAnsi="Times"/>
          <w:sz w:val="20"/>
          <w:lang w:val="en-US"/>
        </w:rPr>
        <w:t>- 263 p.</w:t>
      </w:r>
      <w:r w:rsidR="004B7B94" w:rsidRPr="004B7B94">
        <w:rPr>
          <w:rFonts w:ascii="Times" w:hAnsi="Times"/>
          <w:sz w:val="20"/>
          <w:lang w:val="en-US"/>
        </w:rPr>
        <w:t xml:space="preserve"> </w:t>
      </w:r>
      <w:r w:rsidR="004B7B94">
        <w:rPr>
          <w:rFonts w:ascii="Times" w:hAnsi="Times"/>
          <w:sz w:val="20"/>
          <w:lang w:val="en-US"/>
        </w:rPr>
        <w:t>(In Russian)</w:t>
      </w:r>
    </w:p>
    <w:p w:rsidR="005D6EEC" w:rsidRPr="005A5BC5" w:rsidRDefault="005D6EEC" w:rsidP="005A5BC5">
      <w:pPr>
        <w:pStyle w:val="ad"/>
        <w:numPr>
          <w:ilvl w:val="0"/>
          <w:numId w:val="4"/>
        </w:numPr>
        <w:ind w:left="284" w:hanging="284"/>
        <w:jc w:val="both"/>
        <w:rPr>
          <w:rFonts w:ascii="Times" w:hAnsi="Times"/>
          <w:sz w:val="20"/>
          <w:lang w:val="ru-RU"/>
        </w:rPr>
      </w:pPr>
      <w:proofErr w:type="spellStart"/>
      <w:r w:rsidRPr="005A5BC5">
        <w:rPr>
          <w:rFonts w:ascii="Times" w:hAnsi="Times"/>
          <w:sz w:val="20"/>
          <w:lang w:val="en-GB"/>
        </w:rPr>
        <w:t>Wenyuan</w:t>
      </w:r>
      <w:proofErr w:type="spellEnd"/>
      <w:r w:rsidRPr="005A5BC5">
        <w:rPr>
          <w:rFonts w:ascii="Times" w:hAnsi="Times"/>
          <w:sz w:val="20"/>
          <w:lang w:val="en-GB"/>
        </w:rPr>
        <w:t xml:space="preserve"> Li Probabilistic Transmission System Planning. Wiley</w:t>
      </w:r>
      <w:r w:rsidRPr="005A5BC5">
        <w:rPr>
          <w:rFonts w:ascii="Times" w:hAnsi="Times"/>
          <w:sz w:val="20"/>
          <w:lang w:val="ru-RU"/>
        </w:rPr>
        <w:t>-</w:t>
      </w:r>
      <w:r w:rsidRPr="005A5BC5">
        <w:rPr>
          <w:rFonts w:ascii="Times" w:hAnsi="Times"/>
          <w:sz w:val="20"/>
          <w:lang w:val="en-GB"/>
        </w:rPr>
        <w:t>IEEE</w:t>
      </w:r>
      <w:r w:rsidRPr="005A5BC5">
        <w:rPr>
          <w:rFonts w:ascii="Times" w:hAnsi="Times"/>
          <w:sz w:val="20"/>
          <w:lang w:val="ru-RU"/>
        </w:rPr>
        <w:t xml:space="preserve"> </w:t>
      </w:r>
      <w:r w:rsidRPr="005A5BC5">
        <w:rPr>
          <w:rFonts w:ascii="Times" w:hAnsi="Times"/>
          <w:sz w:val="20"/>
          <w:lang w:val="en-GB"/>
        </w:rPr>
        <w:t>Press</w:t>
      </w:r>
      <w:r w:rsidRPr="005A5BC5">
        <w:rPr>
          <w:rFonts w:ascii="Times" w:hAnsi="Times"/>
          <w:sz w:val="20"/>
          <w:lang w:val="ru-RU"/>
        </w:rPr>
        <w:t xml:space="preserve">. 2011. 376 </w:t>
      </w:r>
      <w:r w:rsidRPr="005A5BC5">
        <w:rPr>
          <w:rFonts w:ascii="Times" w:hAnsi="Times"/>
          <w:sz w:val="20"/>
          <w:lang w:val="en-GB"/>
        </w:rPr>
        <w:t>p</w:t>
      </w:r>
      <w:r w:rsidRPr="005A5BC5">
        <w:rPr>
          <w:rFonts w:ascii="Times" w:hAnsi="Times"/>
          <w:sz w:val="20"/>
          <w:lang w:val="ru-RU"/>
        </w:rPr>
        <w:t>.</w:t>
      </w:r>
    </w:p>
    <w:p w:rsidR="004B7B94" w:rsidRDefault="004B7B94" w:rsidP="005A5BC5">
      <w:pPr>
        <w:pStyle w:val="ad"/>
        <w:numPr>
          <w:ilvl w:val="0"/>
          <w:numId w:val="4"/>
        </w:numPr>
        <w:ind w:left="284" w:hanging="284"/>
        <w:jc w:val="both"/>
        <w:rPr>
          <w:rFonts w:ascii="Times" w:hAnsi="Times"/>
          <w:sz w:val="20"/>
          <w:lang w:val="ru-RU"/>
        </w:rPr>
      </w:pPr>
      <w:r w:rsidRPr="004B7B94">
        <w:rPr>
          <w:rFonts w:ascii="Times" w:hAnsi="Times"/>
          <w:sz w:val="20"/>
          <w:lang w:val="en-US"/>
        </w:rPr>
        <w:t>Krupen</w:t>
      </w:r>
      <w:r>
        <w:rPr>
          <w:rFonts w:ascii="Times" w:hAnsi="Times"/>
          <w:sz w:val="20"/>
          <w:lang w:val="en-US"/>
        </w:rPr>
        <w:t>e</w:t>
      </w:r>
      <w:r w:rsidRPr="004B7B94">
        <w:rPr>
          <w:rFonts w:ascii="Times" w:hAnsi="Times"/>
          <w:sz w:val="20"/>
          <w:lang w:val="en-US"/>
        </w:rPr>
        <w:t xml:space="preserve">v D.S., </w:t>
      </w:r>
      <w:proofErr w:type="spellStart"/>
      <w:r w:rsidRPr="004B7B94">
        <w:rPr>
          <w:rFonts w:ascii="Times" w:hAnsi="Times"/>
          <w:sz w:val="20"/>
          <w:lang w:val="en-US"/>
        </w:rPr>
        <w:t>Perzhabinsky</w:t>
      </w:r>
      <w:proofErr w:type="spellEnd"/>
      <w:r w:rsidRPr="004B7B94">
        <w:rPr>
          <w:rFonts w:ascii="Times" w:hAnsi="Times"/>
          <w:sz w:val="20"/>
          <w:lang w:val="en-US"/>
        </w:rPr>
        <w:t xml:space="preserve"> S.M. The problem of optimizing the </w:t>
      </w:r>
      <w:r>
        <w:rPr>
          <w:rFonts w:ascii="Times" w:hAnsi="Times"/>
          <w:sz w:val="20"/>
          <w:lang w:val="en-US"/>
        </w:rPr>
        <w:t>adequacy</w:t>
      </w:r>
      <w:r w:rsidRPr="004B7B94">
        <w:rPr>
          <w:rFonts w:ascii="Times" w:hAnsi="Times"/>
          <w:sz w:val="20"/>
          <w:lang w:val="en-US"/>
        </w:rPr>
        <w:t xml:space="preserve"> of electric power systems. </w:t>
      </w:r>
      <w:r>
        <w:rPr>
          <w:rFonts w:ascii="Times" w:hAnsi="Times"/>
          <w:sz w:val="20"/>
          <w:lang w:val="en-US"/>
        </w:rPr>
        <w:t>Digest</w:t>
      </w:r>
      <w:r w:rsidRPr="004B7B94">
        <w:rPr>
          <w:rFonts w:ascii="Times" w:hAnsi="Times"/>
          <w:sz w:val="20"/>
          <w:lang w:val="en-US"/>
        </w:rPr>
        <w:t xml:space="preserve">: Methodological issues in the study of the reliability of large energy systems. </w:t>
      </w:r>
      <w:r w:rsidRPr="004B7B94">
        <w:rPr>
          <w:rFonts w:ascii="Times" w:hAnsi="Times"/>
          <w:sz w:val="20"/>
          <w:lang w:val="ru-RU"/>
        </w:rPr>
        <w:t>2013.</w:t>
      </w:r>
      <w:r>
        <w:rPr>
          <w:rFonts w:ascii="Times" w:hAnsi="Times"/>
          <w:sz w:val="20"/>
          <w:lang w:val="en-US"/>
        </w:rPr>
        <w:t xml:space="preserve"> P</w:t>
      </w:r>
      <w:r w:rsidRPr="004B7B94">
        <w:rPr>
          <w:rFonts w:ascii="Times" w:hAnsi="Times"/>
          <w:sz w:val="20"/>
          <w:lang w:val="ru-RU"/>
        </w:rPr>
        <w:t>.462-469.</w:t>
      </w:r>
      <w:r w:rsidRPr="004B7B94">
        <w:rPr>
          <w:rFonts w:ascii="Times" w:hAnsi="Times"/>
          <w:sz w:val="20"/>
          <w:lang w:val="en-US"/>
        </w:rPr>
        <w:t xml:space="preserve"> </w:t>
      </w:r>
      <w:r>
        <w:rPr>
          <w:rFonts w:ascii="Times" w:hAnsi="Times"/>
          <w:sz w:val="20"/>
          <w:lang w:val="en-US"/>
        </w:rPr>
        <w:t>(In Russian)</w:t>
      </w:r>
    </w:p>
    <w:p w:rsidR="00D65407" w:rsidRDefault="00D65407" w:rsidP="005A5BC5">
      <w:pPr>
        <w:pStyle w:val="ad"/>
        <w:numPr>
          <w:ilvl w:val="0"/>
          <w:numId w:val="4"/>
        </w:numPr>
        <w:ind w:left="284" w:hanging="284"/>
        <w:jc w:val="both"/>
        <w:rPr>
          <w:rFonts w:ascii="Times" w:hAnsi="Times"/>
          <w:sz w:val="20"/>
          <w:lang w:val="ru-RU"/>
        </w:rPr>
      </w:pPr>
      <w:r w:rsidRPr="00D65407">
        <w:rPr>
          <w:rFonts w:ascii="Times" w:hAnsi="Times"/>
          <w:sz w:val="20"/>
          <w:lang w:val="en-US"/>
        </w:rPr>
        <w:t xml:space="preserve">Krupenev D.S., </w:t>
      </w:r>
      <w:proofErr w:type="spellStart"/>
      <w:r w:rsidRPr="00D65407">
        <w:rPr>
          <w:rFonts w:ascii="Times" w:hAnsi="Times"/>
          <w:sz w:val="20"/>
          <w:lang w:val="en-US"/>
        </w:rPr>
        <w:t>Kovalev</w:t>
      </w:r>
      <w:proofErr w:type="spellEnd"/>
      <w:r w:rsidRPr="00D65407">
        <w:rPr>
          <w:rFonts w:ascii="Times" w:hAnsi="Times"/>
          <w:sz w:val="20"/>
          <w:lang w:val="en-US"/>
        </w:rPr>
        <w:t xml:space="preserve"> G.F. </w:t>
      </w:r>
      <w:r>
        <w:rPr>
          <w:rFonts w:ascii="Times" w:hAnsi="Times"/>
          <w:sz w:val="20"/>
          <w:lang w:val="en-US"/>
        </w:rPr>
        <w:t>R</w:t>
      </w:r>
      <w:r w:rsidRPr="00D65407">
        <w:rPr>
          <w:rFonts w:ascii="Times" w:hAnsi="Times"/>
          <w:sz w:val="20"/>
          <w:lang w:val="en-US"/>
        </w:rPr>
        <w:t>eliability</w:t>
      </w:r>
      <w:r>
        <w:rPr>
          <w:rFonts w:ascii="Times" w:hAnsi="Times"/>
          <w:sz w:val="20"/>
          <w:lang w:val="en-US"/>
        </w:rPr>
        <w:t xml:space="preserve"> evaluation</w:t>
      </w:r>
      <w:r w:rsidRPr="00D65407">
        <w:rPr>
          <w:rFonts w:ascii="Times" w:hAnsi="Times"/>
          <w:sz w:val="20"/>
          <w:lang w:val="en-US"/>
        </w:rPr>
        <w:t xml:space="preserve"> of the links of the main structure of electric power systems. </w:t>
      </w:r>
      <w:proofErr w:type="spellStart"/>
      <w:r w:rsidRPr="00D65407">
        <w:rPr>
          <w:rFonts w:ascii="Times" w:hAnsi="Times"/>
          <w:sz w:val="20"/>
          <w:lang w:val="ru-RU"/>
        </w:rPr>
        <w:t>Risk</w:t>
      </w:r>
      <w:proofErr w:type="spellEnd"/>
      <w:r w:rsidRPr="00D65407">
        <w:rPr>
          <w:rFonts w:ascii="Times" w:hAnsi="Times"/>
          <w:sz w:val="20"/>
          <w:lang w:val="ru-RU"/>
        </w:rPr>
        <w:t xml:space="preserve"> </w:t>
      </w:r>
      <w:proofErr w:type="spellStart"/>
      <w:r w:rsidRPr="00D65407">
        <w:rPr>
          <w:rFonts w:ascii="Times" w:hAnsi="Times"/>
          <w:sz w:val="20"/>
          <w:lang w:val="ru-RU"/>
        </w:rPr>
        <w:t>analysis</w:t>
      </w:r>
      <w:proofErr w:type="spellEnd"/>
      <w:r w:rsidRPr="00D65407">
        <w:rPr>
          <w:rFonts w:ascii="Times" w:hAnsi="Times"/>
          <w:sz w:val="20"/>
          <w:lang w:val="ru-RU"/>
        </w:rPr>
        <w:t xml:space="preserve"> </w:t>
      </w:r>
      <w:proofErr w:type="spellStart"/>
      <w:r w:rsidRPr="00D65407">
        <w:rPr>
          <w:rFonts w:ascii="Times" w:hAnsi="Times"/>
          <w:sz w:val="20"/>
          <w:lang w:val="ru-RU"/>
        </w:rPr>
        <w:t>problems</w:t>
      </w:r>
      <w:proofErr w:type="spellEnd"/>
      <w:r w:rsidRPr="00D65407">
        <w:rPr>
          <w:rFonts w:ascii="Times" w:hAnsi="Times"/>
          <w:sz w:val="20"/>
          <w:lang w:val="ru-RU"/>
        </w:rPr>
        <w:t xml:space="preserve">. 2010. T. 7. </w:t>
      </w:r>
      <w:proofErr w:type="spellStart"/>
      <w:r w:rsidRPr="00D65407">
        <w:rPr>
          <w:rFonts w:ascii="Times" w:hAnsi="Times"/>
          <w:sz w:val="20"/>
          <w:lang w:val="ru-RU"/>
        </w:rPr>
        <w:t>No</w:t>
      </w:r>
      <w:proofErr w:type="spellEnd"/>
      <w:r w:rsidRPr="00D65407">
        <w:rPr>
          <w:rFonts w:ascii="Times" w:hAnsi="Times"/>
          <w:sz w:val="20"/>
          <w:lang w:val="ru-RU"/>
        </w:rPr>
        <w:t xml:space="preserve">. 3. </w:t>
      </w:r>
      <w:r>
        <w:rPr>
          <w:rFonts w:ascii="Times" w:hAnsi="Times"/>
          <w:sz w:val="20"/>
          <w:lang w:val="en-US"/>
        </w:rPr>
        <w:t>P</w:t>
      </w:r>
      <w:r w:rsidRPr="00D65407">
        <w:rPr>
          <w:rFonts w:ascii="Times" w:hAnsi="Times"/>
          <w:sz w:val="20"/>
          <w:lang w:val="ru-RU"/>
        </w:rPr>
        <w:t>. 34-39.</w:t>
      </w:r>
      <w:r w:rsidRPr="00D65407">
        <w:rPr>
          <w:rFonts w:ascii="Times" w:hAnsi="Times"/>
          <w:sz w:val="20"/>
          <w:lang w:val="en-US"/>
        </w:rPr>
        <w:t xml:space="preserve"> </w:t>
      </w:r>
      <w:r>
        <w:rPr>
          <w:rFonts w:ascii="Times" w:hAnsi="Times"/>
          <w:sz w:val="20"/>
          <w:lang w:val="en-US"/>
        </w:rPr>
        <w:t>(In Russian)</w:t>
      </w:r>
    </w:p>
    <w:p w:rsidR="00D65407" w:rsidRPr="00D65407" w:rsidRDefault="00D65407" w:rsidP="005A5BC5">
      <w:pPr>
        <w:pStyle w:val="ad"/>
        <w:numPr>
          <w:ilvl w:val="0"/>
          <w:numId w:val="4"/>
        </w:numPr>
        <w:ind w:left="284" w:hanging="284"/>
        <w:jc w:val="both"/>
        <w:rPr>
          <w:rFonts w:ascii="Times" w:hAnsi="Times"/>
          <w:sz w:val="20"/>
          <w:lang w:val="en-GB"/>
        </w:rPr>
      </w:pPr>
      <w:r w:rsidRPr="00D65407">
        <w:rPr>
          <w:rFonts w:ascii="Times" w:hAnsi="Times"/>
          <w:sz w:val="20"/>
          <w:lang w:val="en-US"/>
        </w:rPr>
        <w:t>Decree of the Government of the Russian Federation of December 27, 2010 N 1172 (as amended on June 30, 2020) "On approval of the Rules for the wholesale electricity and capacity market and on amendments to some acts of the Government of the Russian Federation on the organization of the functioning of the wholesale electricity and capacity market".</w:t>
      </w:r>
      <w:r>
        <w:rPr>
          <w:rFonts w:ascii="Times" w:hAnsi="Times"/>
          <w:sz w:val="20"/>
          <w:lang w:val="en-US"/>
        </w:rPr>
        <w:t xml:space="preserve"> (In Russian)</w:t>
      </w:r>
    </w:p>
    <w:p w:rsidR="005D6EEC" w:rsidRPr="005A5BC5" w:rsidRDefault="005D6EEC" w:rsidP="005A5BC5">
      <w:pPr>
        <w:pStyle w:val="ad"/>
        <w:numPr>
          <w:ilvl w:val="0"/>
          <w:numId w:val="4"/>
        </w:numPr>
        <w:ind w:left="284" w:hanging="284"/>
        <w:jc w:val="both"/>
        <w:rPr>
          <w:rFonts w:ascii="Times" w:hAnsi="Times"/>
          <w:sz w:val="20"/>
          <w:lang w:val="en-GB"/>
        </w:rPr>
      </w:pPr>
      <w:r w:rsidRPr="005A5BC5">
        <w:rPr>
          <w:rFonts w:ascii="Times" w:hAnsi="Times"/>
          <w:sz w:val="20"/>
          <w:lang w:val="en-GB"/>
        </w:rPr>
        <w:t xml:space="preserve">The concept of ensuring reliability in the electric power industry / Ed. under the editorship of </w:t>
      </w:r>
      <w:proofErr w:type="spellStart"/>
      <w:r w:rsidRPr="005A5BC5">
        <w:rPr>
          <w:rFonts w:ascii="Times" w:hAnsi="Times"/>
          <w:sz w:val="20"/>
          <w:lang w:val="en-GB"/>
        </w:rPr>
        <w:t>Voropay</w:t>
      </w:r>
      <w:proofErr w:type="spellEnd"/>
      <w:r w:rsidRPr="005A5BC5">
        <w:rPr>
          <w:rFonts w:ascii="Times" w:hAnsi="Times"/>
          <w:sz w:val="20"/>
          <w:lang w:val="en-GB"/>
        </w:rPr>
        <w:t xml:space="preserve"> N.I., </w:t>
      </w:r>
      <w:proofErr w:type="spellStart"/>
      <w:r w:rsidRPr="005A5BC5">
        <w:rPr>
          <w:rFonts w:ascii="Times" w:hAnsi="Times"/>
          <w:sz w:val="20"/>
          <w:lang w:val="en-GB"/>
        </w:rPr>
        <w:t>Kovalev</w:t>
      </w:r>
      <w:proofErr w:type="spellEnd"/>
      <w:r w:rsidRPr="005A5BC5">
        <w:rPr>
          <w:rFonts w:ascii="Times" w:hAnsi="Times"/>
          <w:sz w:val="20"/>
          <w:lang w:val="en-GB"/>
        </w:rPr>
        <w:t xml:space="preserve"> G.F. Publishing House "Energy", 2013. 301 p.</w:t>
      </w:r>
    </w:p>
    <w:p w:rsidR="005D6EEC" w:rsidRPr="005A5BC5" w:rsidRDefault="005D6EEC" w:rsidP="005A5BC5">
      <w:pPr>
        <w:pStyle w:val="ad"/>
        <w:numPr>
          <w:ilvl w:val="0"/>
          <w:numId w:val="4"/>
        </w:numPr>
        <w:ind w:left="284" w:hanging="284"/>
        <w:jc w:val="both"/>
        <w:rPr>
          <w:rFonts w:ascii="Times" w:hAnsi="Times"/>
          <w:sz w:val="20"/>
          <w:lang w:val="en-GB"/>
        </w:rPr>
      </w:pPr>
      <w:r w:rsidRPr="005A5BC5">
        <w:rPr>
          <w:rFonts w:ascii="Times" w:hAnsi="Times"/>
          <w:sz w:val="20"/>
          <w:lang w:val="en-GB"/>
        </w:rPr>
        <w:lastRenderedPageBreak/>
        <w:t>Krupenev D.</w:t>
      </w:r>
      <w:r w:rsidR="005A5BC5">
        <w:rPr>
          <w:rFonts w:ascii="Times" w:hAnsi="Times"/>
          <w:sz w:val="20"/>
          <w:lang w:val="en-US"/>
        </w:rPr>
        <w:t>S.</w:t>
      </w:r>
      <w:r w:rsidRPr="005A5BC5">
        <w:rPr>
          <w:rFonts w:ascii="Times" w:hAnsi="Times"/>
          <w:sz w:val="20"/>
          <w:lang w:val="en-GB"/>
        </w:rPr>
        <w:t xml:space="preserve"> Assessment of Power System Adequacy with Renewable Energy Sources and Energy Storage Systems // E3S Web of Conferences. Vol.58. ID: 01012. 2018. DOI: 10.1051/e3sconf/20185801012</w:t>
      </w:r>
    </w:p>
    <w:p w:rsidR="005D6EEC" w:rsidRPr="005A5BC5" w:rsidRDefault="005D6EEC" w:rsidP="005A5BC5">
      <w:pPr>
        <w:pStyle w:val="ad"/>
        <w:numPr>
          <w:ilvl w:val="0"/>
          <w:numId w:val="4"/>
        </w:numPr>
        <w:ind w:left="284" w:hanging="284"/>
        <w:jc w:val="both"/>
        <w:rPr>
          <w:rFonts w:ascii="Times" w:hAnsi="Times"/>
          <w:sz w:val="20"/>
          <w:lang w:val="en-GB"/>
        </w:rPr>
      </w:pPr>
      <w:proofErr w:type="spellStart"/>
      <w:r w:rsidRPr="005A5BC5">
        <w:rPr>
          <w:rFonts w:ascii="Times" w:hAnsi="Times"/>
          <w:sz w:val="20"/>
          <w:lang w:val="en-GB"/>
        </w:rPr>
        <w:t>Kovalev</w:t>
      </w:r>
      <w:proofErr w:type="spellEnd"/>
      <w:r w:rsidRPr="005A5BC5">
        <w:rPr>
          <w:rFonts w:ascii="Times" w:hAnsi="Times"/>
          <w:sz w:val="20"/>
          <w:lang w:val="en-GB"/>
        </w:rPr>
        <w:t xml:space="preserve"> G.F., </w:t>
      </w:r>
      <w:proofErr w:type="spellStart"/>
      <w:r w:rsidRPr="005A5BC5">
        <w:rPr>
          <w:rFonts w:ascii="Times" w:hAnsi="Times"/>
          <w:sz w:val="20"/>
          <w:lang w:val="en-GB"/>
        </w:rPr>
        <w:t>Lebedeva</w:t>
      </w:r>
      <w:proofErr w:type="spellEnd"/>
      <w:r w:rsidRPr="005A5BC5">
        <w:rPr>
          <w:rFonts w:ascii="Times" w:hAnsi="Times"/>
          <w:sz w:val="20"/>
          <w:lang w:val="en-GB"/>
        </w:rPr>
        <w:t xml:space="preserve"> L.M. Reliability of Power Systems. / Springer. 2019. 237 p.</w:t>
      </w:r>
    </w:p>
    <w:p w:rsidR="005D6EEC" w:rsidRPr="005A5BC5" w:rsidRDefault="005D6EEC" w:rsidP="005A5BC5">
      <w:pPr>
        <w:pStyle w:val="ad"/>
        <w:numPr>
          <w:ilvl w:val="0"/>
          <w:numId w:val="4"/>
        </w:numPr>
        <w:ind w:left="284" w:hanging="284"/>
        <w:jc w:val="both"/>
        <w:rPr>
          <w:rFonts w:ascii="Times" w:hAnsi="Times"/>
          <w:sz w:val="20"/>
          <w:lang w:val="en-GB"/>
        </w:rPr>
      </w:pPr>
      <w:proofErr w:type="spellStart"/>
      <w:r w:rsidRPr="005A5BC5">
        <w:rPr>
          <w:rFonts w:ascii="Times" w:hAnsi="Times"/>
          <w:sz w:val="20"/>
          <w:lang w:val="en-GB"/>
        </w:rPr>
        <w:t>Billinton</w:t>
      </w:r>
      <w:proofErr w:type="spellEnd"/>
      <w:r w:rsidRPr="005A5BC5">
        <w:rPr>
          <w:rFonts w:ascii="Times" w:hAnsi="Times"/>
          <w:sz w:val="20"/>
          <w:lang w:val="en-GB"/>
        </w:rPr>
        <w:t xml:space="preserve"> R., Allan R.N. Reliability Evaluation of Power Systems. – Plenum Publishing (New York), 1996. – 540 p.</w:t>
      </w:r>
    </w:p>
    <w:p w:rsidR="00B4716F" w:rsidRDefault="00B4716F" w:rsidP="005A5BC5">
      <w:pPr>
        <w:pStyle w:val="ad"/>
        <w:numPr>
          <w:ilvl w:val="0"/>
          <w:numId w:val="4"/>
        </w:numPr>
        <w:ind w:left="284" w:hanging="284"/>
        <w:jc w:val="both"/>
        <w:rPr>
          <w:rFonts w:ascii="Times" w:hAnsi="Times"/>
          <w:sz w:val="20"/>
          <w:lang w:val="ru-RU"/>
        </w:rPr>
      </w:pPr>
      <w:proofErr w:type="spellStart"/>
      <w:r w:rsidRPr="00B4716F">
        <w:rPr>
          <w:rFonts w:ascii="Times" w:hAnsi="Times"/>
          <w:sz w:val="20"/>
          <w:lang w:val="en-US"/>
        </w:rPr>
        <w:t>Belyaev</w:t>
      </w:r>
      <w:proofErr w:type="spellEnd"/>
      <w:r w:rsidRPr="00B4716F">
        <w:rPr>
          <w:rFonts w:ascii="Times" w:hAnsi="Times"/>
          <w:sz w:val="20"/>
          <w:lang w:val="en-US"/>
        </w:rPr>
        <w:t xml:space="preserve"> N.A., </w:t>
      </w:r>
      <w:proofErr w:type="spellStart"/>
      <w:r w:rsidRPr="00B4716F">
        <w:rPr>
          <w:rFonts w:ascii="Times" w:hAnsi="Times"/>
          <w:sz w:val="20"/>
          <w:lang w:val="en-US"/>
        </w:rPr>
        <w:t>Korovkin</w:t>
      </w:r>
      <w:proofErr w:type="spellEnd"/>
      <w:r w:rsidRPr="00B4716F">
        <w:rPr>
          <w:rFonts w:ascii="Times" w:hAnsi="Times"/>
          <w:sz w:val="20"/>
          <w:lang w:val="en-US"/>
        </w:rPr>
        <w:t xml:space="preserve"> N.V., Wonderful V.S. Calculation of indicators of power systems </w:t>
      </w:r>
      <w:r w:rsidR="00DD23A4">
        <w:rPr>
          <w:rFonts w:ascii="Times" w:hAnsi="Times"/>
          <w:sz w:val="20"/>
          <w:lang w:val="en-US"/>
        </w:rPr>
        <w:t>adequacy</w:t>
      </w:r>
      <w:r w:rsidR="00DD23A4" w:rsidRPr="00B4716F">
        <w:rPr>
          <w:rFonts w:ascii="Times" w:hAnsi="Times"/>
          <w:sz w:val="20"/>
          <w:lang w:val="en-US"/>
        </w:rPr>
        <w:t xml:space="preserve"> </w:t>
      </w:r>
      <w:r w:rsidRPr="00B4716F">
        <w:rPr>
          <w:rFonts w:ascii="Times" w:hAnsi="Times"/>
          <w:sz w:val="20"/>
          <w:lang w:val="en-US"/>
        </w:rPr>
        <w:t xml:space="preserve">taking into account the variable topology of the electrical network. </w:t>
      </w:r>
      <w:proofErr w:type="spellStart"/>
      <w:r w:rsidRPr="00B4716F">
        <w:rPr>
          <w:rFonts w:ascii="Times" w:hAnsi="Times"/>
          <w:sz w:val="20"/>
          <w:lang w:val="ru-RU"/>
        </w:rPr>
        <w:t>Electricity</w:t>
      </w:r>
      <w:proofErr w:type="spellEnd"/>
      <w:r w:rsidRPr="00B4716F">
        <w:rPr>
          <w:rFonts w:ascii="Times" w:hAnsi="Times"/>
          <w:sz w:val="20"/>
          <w:lang w:val="ru-RU"/>
        </w:rPr>
        <w:t xml:space="preserve">. 2016. </w:t>
      </w:r>
      <w:proofErr w:type="spellStart"/>
      <w:r w:rsidRPr="00B4716F">
        <w:rPr>
          <w:rFonts w:ascii="Times" w:hAnsi="Times"/>
          <w:sz w:val="20"/>
          <w:lang w:val="ru-RU"/>
        </w:rPr>
        <w:t>No</w:t>
      </w:r>
      <w:proofErr w:type="spellEnd"/>
      <w:r w:rsidRPr="00B4716F">
        <w:rPr>
          <w:rFonts w:ascii="Times" w:hAnsi="Times"/>
          <w:sz w:val="20"/>
          <w:lang w:val="ru-RU"/>
        </w:rPr>
        <w:t>. 4. P. 4–10.</w:t>
      </w:r>
      <w:r w:rsidR="00DD23A4">
        <w:rPr>
          <w:rFonts w:ascii="Times" w:hAnsi="Times"/>
          <w:sz w:val="20"/>
          <w:lang w:val="en-US"/>
        </w:rPr>
        <w:t xml:space="preserve"> (In Russian)</w:t>
      </w:r>
    </w:p>
    <w:p w:rsidR="00DD23A4" w:rsidRDefault="00DD23A4" w:rsidP="005A5BC5">
      <w:pPr>
        <w:pStyle w:val="ad"/>
        <w:numPr>
          <w:ilvl w:val="0"/>
          <w:numId w:val="4"/>
        </w:numPr>
        <w:ind w:left="284" w:hanging="284"/>
        <w:jc w:val="both"/>
        <w:rPr>
          <w:rFonts w:ascii="Times" w:hAnsi="Times"/>
          <w:sz w:val="20"/>
          <w:lang w:val="ru-RU"/>
        </w:rPr>
      </w:pPr>
      <w:proofErr w:type="spellStart"/>
      <w:r w:rsidRPr="00DD23A4">
        <w:rPr>
          <w:rFonts w:ascii="Times" w:hAnsi="Times"/>
          <w:sz w:val="20"/>
          <w:lang w:val="en-US"/>
        </w:rPr>
        <w:t>Lebedeva</w:t>
      </w:r>
      <w:proofErr w:type="spellEnd"/>
      <w:r w:rsidRPr="00DD23A4">
        <w:rPr>
          <w:rFonts w:ascii="Times" w:hAnsi="Times"/>
          <w:sz w:val="20"/>
          <w:lang w:val="en-US"/>
        </w:rPr>
        <w:t xml:space="preserve"> L.M., </w:t>
      </w:r>
      <w:proofErr w:type="spellStart"/>
      <w:r w:rsidRPr="00DD23A4">
        <w:rPr>
          <w:rFonts w:ascii="Times" w:hAnsi="Times"/>
          <w:sz w:val="20"/>
          <w:lang w:val="en-US"/>
        </w:rPr>
        <w:t>Kovalev</w:t>
      </w:r>
      <w:proofErr w:type="spellEnd"/>
      <w:r w:rsidRPr="00DD23A4">
        <w:rPr>
          <w:rFonts w:ascii="Times" w:hAnsi="Times"/>
          <w:sz w:val="20"/>
          <w:lang w:val="en-US"/>
        </w:rPr>
        <w:t xml:space="preserve"> G.F., Krupenev D.S. </w:t>
      </w:r>
      <w:r w:rsidR="00CF7388">
        <w:rPr>
          <w:rFonts w:ascii="Times" w:hAnsi="Times"/>
          <w:sz w:val="20"/>
          <w:lang w:val="en-US"/>
        </w:rPr>
        <w:t>E</w:t>
      </w:r>
      <w:r w:rsidRPr="00DD23A4">
        <w:rPr>
          <w:rFonts w:ascii="Times" w:hAnsi="Times"/>
          <w:sz w:val="20"/>
          <w:lang w:val="en-US"/>
        </w:rPr>
        <w:t>lectric power systems</w:t>
      </w:r>
      <w:r w:rsidR="00CF7388">
        <w:rPr>
          <w:rFonts w:ascii="Times" w:hAnsi="Times"/>
          <w:sz w:val="20"/>
          <w:lang w:val="en-US"/>
        </w:rPr>
        <w:t xml:space="preserve"> adequacy standardization</w:t>
      </w:r>
      <w:r w:rsidRPr="00DD23A4">
        <w:rPr>
          <w:rFonts w:ascii="Times" w:hAnsi="Times"/>
          <w:sz w:val="20"/>
          <w:lang w:val="en-US"/>
        </w:rPr>
        <w:t xml:space="preserve"> and formation of generating capacity</w:t>
      </w:r>
      <w:r w:rsidR="00CF7388">
        <w:rPr>
          <w:rFonts w:ascii="Times" w:hAnsi="Times"/>
          <w:sz w:val="20"/>
          <w:lang w:val="en-US"/>
        </w:rPr>
        <w:t xml:space="preserve"> </w:t>
      </w:r>
      <w:r w:rsidR="00CF7388" w:rsidRPr="00DD23A4">
        <w:rPr>
          <w:rFonts w:ascii="Times" w:hAnsi="Times"/>
          <w:sz w:val="20"/>
          <w:lang w:val="en-US"/>
        </w:rPr>
        <w:t>reserve</w:t>
      </w:r>
      <w:r w:rsidRPr="00DD23A4">
        <w:rPr>
          <w:rFonts w:ascii="Times" w:hAnsi="Times"/>
          <w:sz w:val="20"/>
          <w:lang w:val="en-US"/>
        </w:rPr>
        <w:t xml:space="preserve"> // Reliability and safety of power engineering. </w:t>
      </w:r>
      <w:r w:rsidRPr="00DD23A4">
        <w:rPr>
          <w:rFonts w:ascii="Times" w:hAnsi="Times"/>
          <w:sz w:val="20"/>
          <w:lang w:val="ru-RU"/>
        </w:rPr>
        <w:t xml:space="preserve">T.11. # 1. 2018. </w:t>
      </w:r>
      <w:r w:rsidR="00CF7388">
        <w:rPr>
          <w:rFonts w:ascii="Times" w:hAnsi="Times"/>
          <w:sz w:val="20"/>
          <w:lang w:val="en-US"/>
        </w:rPr>
        <w:t>P</w:t>
      </w:r>
      <w:r w:rsidRPr="00DD23A4">
        <w:rPr>
          <w:rFonts w:ascii="Times" w:hAnsi="Times"/>
          <w:sz w:val="20"/>
          <w:lang w:val="ru-RU"/>
        </w:rPr>
        <w:t>.</w:t>
      </w:r>
      <w:r w:rsidR="00CF7388">
        <w:rPr>
          <w:rFonts w:ascii="Times" w:hAnsi="Times"/>
          <w:sz w:val="20"/>
          <w:lang w:val="en-US"/>
        </w:rPr>
        <w:t xml:space="preserve"> </w:t>
      </w:r>
      <w:r w:rsidRPr="00DD23A4">
        <w:rPr>
          <w:rFonts w:ascii="Times" w:hAnsi="Times"/>
          <w:sz w:val="20"/>
          <w:lang w:val="ru-RU"/>
        </w:rPr>
        <w:t>4-13.</w:t>
      </w:r>
      <w:r w:rsidRPr="00DD23A4">
        <w:rPr>
          <w:rFonts w:ascii="Times" w:hAnsi="Times"/>
          <w:sz w:val="20"/>
          <w:lang w:val="en-US"/>
        </w:rPr>
        <w:t xml:space="preserve"> </w:t>
      </w:r>
      <w:r>
        <w:rPr>
          <w:rFonts w:ascii="Times" w:hAnsi="Times"/>
          <w:sz w:val="20"/>
          <w:lang w:val="en-US"/>
        </w:rPr>
        <w:t>(In Russian)</w:t>
      </w:r>
    </w:p>
    <w:p w:rsidR="00CF7388" w:rsidRPr="00CF7388" w:rsidRDefault="00CF7388" w:rsidP="005A5BC5">
      <w:pPr>
        <w:pStyle w:val="ad"/>
        <w:numPr>
          <w:ilvl w:val="0"/>
          <w:numId w:val="4"/>
        </w:numPr>
        <w:ind w:left="284" w:hanging="284"/>
        <w:jc w:val="both"/>
        <w:rPr>
          <w:rFonts w:ascii="Times" w:hAnsi="Times"/>
          <w:sz w:val="20"/>
          <w:lang w:val="en-US"/>
        </w:rPr>
      </w:pPr>
      <w:r w:rsidRPr="00CF7388">
        <w:rPr>
          <w:rFonts w:ascii="Times" w:hAnsi="Times"/>
          <w:sz w:val="20"/>
          <w:lang w:val="en-US"/>
        </w:rPr>
        <w:t>Markovich I.M. Modes of energy systems. - M</w:t>
      </w:r>
      <w:r>
        <w:rPr>
          <w:rFonts w:ascii="Times" w:hAnsi="Times"/>
          <w:sz w:val="20"/>
          <w:lang w:val="en-US"/>
        </w:rPr>
        <w:t>oscow</w:t>
      </w:r>
      <w:r w:rsidRPr="00CF7388">
        <w:rPr>
          <w:rFonts w:ascii="Times" w:hAnsi="Times"/>
          <w:sz w:val="20"/>
          <w:lang w:val="en-US"/>
        </w:rPr>
        <w:t xml:space="preserve">: Science. - 1986, 252 p. </w:t>
      </w:r>
      <w:r>
        <w:rPr>
          <w:rFonts w:ascii="Times" w:hAnsi="Times"/>
          <w:sz w:val="20"/>
          <w:lang w:val="en-US"/>
        </w:rPr>
        <w:t>(In Russian)</w:t>
      </w:r>
    </w:p>
    <w:p w:rsidR="00CF7388" w:rsidRDefault="00CF7388" w:rsidP="00804BAB">
      <w:pPr>
        <w:pStyle w:val="ad"/>
        <w:numPr>
          <w:ilvl w:val="0"/>
          <w:numId w:val="4"/>
        </w:numPr>
        <w:ind w:left="284" w:hanging="284"/>
        <w:jc w:val="both"/>
        <w:rPr>
          <w:rFonts w:ascii="Times" w:hAnsi="Times"/>
          <w:sz w:val="20"/>
          <w:lang w:val="en-US"/>
        </w:rPr>
      </w:pPr>
      <w:r w:rsidRPr="00CF7388">
        <w:rPr>
          <w:rFonts w:ascii="Times" w:hAnsi="Times"/>
          <w:sz w:val="20"/>
          <w:lang w:val="en-US"/>
        </w:rPr>
        <w:t>Order of the Ministry of Energy of Russia dated 02.28.18 No. 121 "On approval of the scheme and development program for the Unified Energy System of Russia for 2018 - 2024"</w:t>
      </w:r>
      <w:r>
        <w:rPr>
          <w:rFonts w:ascii="Times" w:hAnsi="Times"/>
          <w:sz w:val="20"/>
          <w:lang w:val="en-US"/>
        </w:rPr>
        <w:t xml:space="preserve"> (In Russian)</w:t>
      </w:r>
    </w:p>
    <w:p w:rsidR="00996659" w:rsidRPr="00CF7388" w:rsidRDefault="00CF7388" w:rsidP="00CF7388">
      <w:pPr>
        <w:pStyle w:val="ad"/>
        <w:numPr>
          <w:ilvl w:val="0"/>
          <w:numId w:val="4"/>
        </w:numPr>
        <w:ind w:left="284" w:hanging="284"/>
        <w:jc w:val="both"/>
        <w:rPr>
          <w:rFonts w:ascii="Times" w:hAnsi="Times"/>
          <w:sz w:val="20"/>
          <w:lang w:val="en-US"/>
        </w:rPr>
      </w:pPr>
      <w:r w:rsidRPr="00CF7388">
        <w:rPr>
          <w:rFonts w:ascii="Times" w:hAnsi="Times"/>
          <w:sz w:val="20"/>
          <w:lang w:val="en-US"/>
        </w:rPr>
        <w:t xml:space="preserve">Methodological recommendations for the design of the development of power systems / </w:t>
      </w:r>
      <w:r>
        <w:rPr>
          <w:rFonts w:ascii="Times" w:hAnsi="Times"/>
          <w:sz w:val="20"/>
          <w:lang w:val="ru-RU"/>
        </w:rPr>
        <w:t>СО</w:t>
      </w:r>
      <w:r w:rsidRPr="00CF7388">
        <w:rPr>
          <w:rFonts w:ascii="Times" w:hAnsi="Times"/>
          <w:sz w:val="20"/>
          <w:lang w:val="en-US"/>
        </w:rPr>
        <w:t xml:space="preserve"> 153-34.20.118-2003, Approved by order of the Ministry of Energy of Russia dated June 30, 2003 No. 281</w:t>
      </w:r>
      <w:r>
        <w:rPr>
          <w:rFonts w:ascii="Times" w:hAnsi="Times"/>
          <w:sz w:val="20"/>
          <w:lang w:val="ru-RU"/>
        </w:rPr>
        <w:t>э</w:t>
      </w:r>
      <w:r w:rsidRPr="00CF7388">
        <w:rPr>
          <w:rFonts w:ascii="Times" w:hAnsi="Times"/>
          <w:sz w:val="20"/>
          <w:lang w:val="en-US"/>
        </w:rPr>
        <w:t xml:space="preserve">. </w:t>
      </w:r>
      <w:r>
        <w:rPr>
          <w:rFonts w:ascii="Times" w:hAnsi="Times"/>
          <w:sz w:val="20"/>
          <w:lang w:val="en-US"/>
        </w:rPr>
        <w:t>(In Russian)</w:t>
      </w:r>
    </w:p>
    <w:sectPr w:rsidR="00996659" w:rsidRPr="00CF7388" w:rsidSect="00910555">
      <w:headerReference w:type="even" r:id="rId15"/>
      <w:headerReference w:type="default" r:id="rId16"/>
      <w:headerReference w:type="first" r:id="rId17"/>
      <w:footnotePr>
        <w:pos w:val="beneathText"/>
        <w:numFmt w:val="lowerLetter"/>
      </w:footnotePr>
      <w:type w:val="continuous"/>
      <w:pgSz w:w="11905" w:h="16837" w:code="9"/>
      <w:pgMar w:top="1418" w:right="1134" w:bottom="1134" w:left="1134" w:header="680" w:footer="680" w:gutter="0"/>
      <w:cols w:num="2"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0C0" w:rsidRDefault="00DA30C0">
      <w:r>
        <w:separator/>
      </w:r>
    </w:p>
  </w:endnote>
  <w:endnote w:type="continuationSeparator" w:id="0">
    <w:p w:rsidR="00DA30C0" w:rsidRDefault="00DA3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itstream Vera Sans">
    <w:charset w:val="00"/>
    <w:family w:val="auto"/>
    <w:pitch w:val="variable"/>
  </w:font>
  <w:font w:name="Times">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B51" w:rsidRPr="003965B9" w:rsidRDefault="00B01B51">
    <w:pPr>
      <w:pStyle w:val="a8"/>
      <w:rPr>
        <w:rFonts w:ascii="Times New Roman" w:hAnsi="Times New Roman" w:cs="Times New Roman"/>
        <w:sz w:val="18"/>
        <w:szCs w:val="18"/>
        <w:lang w:val="en-US"/>
      </w:rPr>
    </w:pPr>
    <w:r>
      <w:rPr>
        <w:noProof/>
        <w:vertAlign w:val="superscript"/>
        <w:lang w:val="ru-RU" w:eastAsia="ru-RU"/>
      </w:rPr>
      <mc:AlternateContent>
        <mc:Choice Requires="wps">
          <w:drawing>
            <wp:anchor distT="0" distB="0" distL="114300" distR="114300" simplePos="0" relativeHeight="251657728" behindDoc="0" locked="0" layoutInCell="1" allowOverlap="1">
              <wp:simplePos x="0" y="0"/>
              <wp:positionH relativeFrom="column">
                <wp:posOffset>-635</wp:posOffset>
              </wp:positionH>
              <wp:positionV relativeFrom="paragraph">
                <wp:posOffset>-13335</wp:posOffset>
              </wp:positionV>
              <wp:extent cx="1800225" cy="0"/>
              <wp:effectExtent l="8890" t="12700" r="10160"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A68DBE0" id="_x0000_t32" coordsize="21600,21600" o:spt="32" o:oned="t" path="m,l21600,21600e" filled="f">
              <v:path arrowok="t" fillok="f" o:connecttype="none"/>
              <o:lock v:ext="edit" shapetype="t"/>
            </v:shapetype>
            <v:shape id="AutoShape 1" o:spid="_x0000_s1026" type="#_x0000_t32" style="position:absolute;margin-left:-.05pt;margin-top:-1.05pt;width:141.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"/>
          </w:pict>
        </mc:Fallback>
      </mc:AlternateContent>
    </w:r>
    <w:r>
      <w:rPr>
        <w:rFonts w:ascii="Times New Roman" w:hAnsi="Times New Roman" w:cs="Times New Roman"/>
        <w:vertAlign w:val="superscript"/>
        <w:lang w:val="en-US"/>
      </w:rPr>
      <w:t>*</w:t>
    </w:r>
    <w:r w:rsidRPr="003965B9">
      <w:rPr>
        <w:sz w:val="18"/>
        <w:szCs w:val="18"/>
        <w:lang w:val="en-US"/>
      </w:rPr>
      <w:t xml:space="preserve"> </w:t>
    </w:r>
    <w:r w:rsidRPr="003965B9">
      <w:rPr>
        <w:rFonts w:ascii="Times New Roman" w:hAnsi="Times New Roman" w:cs="Times New Roman"/>
        <w:sz w:val="18"/>
        <w:szCs w:val="18"/>
        <w:lang w:val="en-US"/>
      </w:rPr>
      <w:t xml:space="preserve">Corresponding author: </w:t>
    </w:r>
    <w:r w:rsidRPr="0044244A">
      <w:rPr>
        <w:rFonts w:ascii="Times New Roman" w:hAnsi="Times New Roman" w:cs="Times New Roman"/>
        <w:sz w:val="18"/>
        <w:szCs w:val="18"/>
        <w:lang w:val="en-US"/>
      </w:rPr>
      <w:t>krupenev@isem.irk.</w:t>
    </w:r>
    <w:r>
      <w:rPr>
        <w:rFonts w:ascii="Times New Roman" w:hAnsi="Times New Roman" w:cs="Times New Roman"/>
        <w:sz w:val="18"/>
        <w:szCs w:val="18"/>
        <w:lang w:val="en-US"/>
      </w:rPr>
      <w:t>ru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0C0" w:rsidRDefault="00DA30C0">
      <w:r>
        <w:separator/>
      </w:r>
    </w:p>
  </w:footnote>
  <w:footnote w:type="continuationSeparator" w:id="0">
    <w:p w:rsidR="00DA30C0" w:rsidRDefault="00DA3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B51" w:rsidRDefault="00B01B51">
    <w:pPr>
      <w:pStyle w:val="ab"/>
      <w:jc w:val="center"/>
      <w:rPr>
        <w:rFonts w:ascii="Times New Roman" w:hAnsi="Times New Roman"/>
        <w:sz w:val="20"/>
      </w:rPr>
    </w:pPr>
    <w:r>
      <w:rPr>
        <w:rFonts w:ascii="Times New Roman" w:hAnsi="Times New Roman"/>
        <w:sz w:val="20"/>
      </w:rPr>
      <w:t>The European Physical Journal Conferences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B51" w:rsidRDefault="00B01B51">
    <w:pPr>
      <w:pStyle w:val="ab"/>
      <w:ind w:right="360"/>
      <w:jc w:val="center"/>
      <w:rPr>
        <w:sz w:val="20"/>
        <w:lang w:val="en-US"/>
      </w:rPr>
    </w:pPr>
    <w:r>
      <w:rPr>
        <w:sz w:val="20"/>
        <w:lang w:val="en-US"/>
      </w:rPr>
      <w:t>Title of the conference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B51" w:rsidRPr="0099732D" w:rsidRDefault="00B01B51" w:rsidP="0099732D">
    <w:pPr>
      <w:pStyle w:val="ab"/>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B51" w:rsidRPr="00EE3F6D" w:rsidRDefault="00B01B51" w:rsidP="00EE3F6D">
    <w:pPr>
      <w:pStyle w:val="ab"/>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B51" w:rsidRDefault="00B01B5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68323E1"/>
    <w:multiLevelType w:val="hybridMultilevel"/>
    <w:tmpl w:val="E28CA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E4A6724"/>
    <w:multiLevelType w:val="hybridMultilevel"/>
    <w:tmpl w:val="4B44C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007"/>
    <w:rsid w:val="00026FFE"/>
    <w:rsid w:val="0003046B"/>
    <w:rsid w:val="00033CAA"/>
    <w:rsid w:val="00037A8C"/>
    <w:rsid w:val="00041A34"/>
    <w:rsid w:val="000471D9"/>
    <w:rsid w:val="00060B27"/>
    <w:rsid w:val="00060F45"/>
    <w:rsid w:val="0007589F"/>
    <w:rsid w:val="000918C1"/>
    <w:rsid w:val="00097C72"/>
    <w:rsid w:val="000B582D"/>
    <w:rsid w:val="000B6474"/>
    <w:rsid w:val="000C1FBA"/>
    <w:rsid w:val="000C4946"/>
    <w:rsid w:val="000D4C30"/>
    <w:rsid w:val="000D6DF1"/>
    <w:rsid w:val="000E17D0"/>
    <w:rsid w:val="000E19B7"/>
    <w:rsid w:val="001120ED"/>
    <w:rsid w:val="00126380"/>
    <w:rsid w:val="001369FA"/>
    <w:rsid w:val="00141F09"/>
    <w:rsid w:val="001463BE"/>
    <w:rsid w:val="0015075B"/>
    <w:rsid w:val="001577BF"/>
    <w:rsid w:val="00164D97"/>
    <w:rsid w:val="00180048"/>
    <w:rsid w:val="001A46C4"/>
    <w:rsid w:val="001B0424"/>
    <w:rsid w:val="00222C3B"/>
    <w:rsid w:val="00262DCA"/>
    <w:rsid w:val="002759FA"/>
    <w:rsid w:val="0028347E"/>
    <w:rsid w:val="002A2B4F"/>
    <w:rsid w:val="002D0F6C"/>
    <w:rsid w:val="002D2392"/>
    <w:rsid w:val="002F5827"/>
    <w:rsid w:val="003028AB"/>
    <w:rsid w:val="00317F4C"/>
    <w:rsid w:val="0032625D"/>
    <w:rsid w:val="00344AA7"/>
    <w:rsid w:val="0035496C"/>
    <w:rsid w:val="00360ADB"/>
    <w:rsid w:val="00372E4F"/>
    <w:rsid w:val="003744A9"/>
    <w:rsid w:val="00374BD6"/>
    <w:rsid w:val="00384D9A"/>
    <w:rsid w:val="00394EA2"/>
    <w:rsid w:val="003965B9"/>
    <w:rsid w:val="003B7BB7"/>
    <w:rsid w:val="003D375C"/>
    <w:rsid w:val="004065CF"/>
    <w:rsid w:val="004307D8"/>
    <w:rsid w:val="00431FE7"/>
    <w:rsid w:val="0044244A"/>
    <w:rsid w:val="004510DF"/>
    <w:rsid w:val="00454F5A"/>
    <w:rsid w:val="00461A7D"/>
    <w:rsid w:val="00466E26"/>
    <w:rsid w:val="00475473"/>
    <w:rsid w:val="004808AF"/>
    <w:rsid w:val="00491EAB"/>
    <w:rsid w:val="004A549B"/>
    <w:rsid w:val="004B2872"/>
    <w:rsid w:val="004B4466"/>
    <w:rsid w:val="004B7B94"/>
    <w:rsid w:val="004C1F0E"/>
    <w:rsid w:val="004C3ADA"/>
    <w:rsid w:val="004D16F1"/>
    <w:rsid w:val="004D7B5E"/>
    <w:rsid w:val="005010B3"/>
    <w:rsid w:val="005010FF"/>
    <w:rsid w:val="00521C45"/>
    <w:rsid w:val="0054176E"/>
    <w:rsid w:val="00543D98"/>
    <w:rsid w:val="00547225"/>
    <w:rsid w:val="0055389E"/>
    <w:rsid w:val="00583C4D"/>
    <w:rsid w:val="0059046B"/>
    <w:rsid w:val="005A5BC5"/>
    <w:rsid w:val="005D6EEC"/>
    <w:rsid w:val="00616AC8"/>
    <w:rsid w:val="006208DE"/>
    <w:rsid w:val="006277E1"/>
    <w:rsid w:val="00631F8D"/>
    <w:rsid w:val="00642EEB"/>
    <w:rsid w:val="006457CC"/>
    <w:rsid w:val="00645ED6"/>
    <w:rsid w:val="00653EAB"/>
    <w:rsid w:val="00653EFD"/>
    <w:rsid w:val="0066621D"/>
    <w:rsid w:val="006776D5"/>
    <w:rsid w:val="006A2AA6"/>
    <w:rsid w:val="006F24B8"/>
    <w:rsid w:val="0070508D"/>
    <w:rsid w:val="007109E3"/>
    <w:rsid w:val="00711ADA"/>
    <w:rsid w:val="00733845"/>
    <w:rsid w:val="0073779F"/>
    <w:rsid w:val="00751B81"/>
    <w:rsid w:val="00753445"/>
    <w:rsid w:val="00754AB7"/>
    <w:rsid w:val="00757E78"/>
    <w:rsid w:val="0078673B"/>
    <w:rsid w:val="007913FB"/>
    <w:rsid w:val="007A1551"/>
    <w:rsid w:val="007A2C0D"/>
    <w:rsid w:val="007C05CA"/>
    <w:rsid w:val="007D11DC"/>
    <w:rsid w:val="007E1B0E"/>
    <w:rsid w:val="007E6228"/>
    <w:rsid w:val="007F3FAF"/>
    <w:rsid w:val="007F4E8E"/>
    <w:rsid w:val="007F5045"/>
    <w:rsid w:val="007F5316"/>
    <w:rsid w:val="008010DF"/>
    <w:rsid w:val="00810B97"/>
    <w:rsid w:val="008130F0"/>
    <w:rsid w:val="00813DEB"/>
    <w:rsid w:val="0081670A"/>
    <w:rsid w:val="008315C2"/>
    <w:rsid w:val="00837419"/>
    <w:rsid w:val="0084416E"/>
    <w:rsid w:val="00883007"/>
    <w:rsid w:val="008968DC"/>
    <w:rsid w:val="008B0A9B"/>
    <w:rsid w:val="008B3993"/>
    <w:rsid w:val="008E5C28"/>
    <w:rsid w:val="008F18C4"/>
    <w:rsid w:val="009026C7"/>
    <w:rsid w:val="00902BF7"/>
    <w:rsid w:val="00905F41"/>
    <w:rsid w:val="00910555"/>
    <w:rsid w:val="00914E98"/>
    <w:rsid w:val="009263A5"/>
    <w:rsid w:val="0094178A"/>
    <w:rsid w:val="00943AC0"/>
    <w:rsid w:val="0095068B"/>
    <w:rsid w:val="009517AE"/>
    <w:rsid w:val="00980362"/>
    <w:rsid w:val="00992FC2"/>
    <w:rsid w:val="00996659"/>
    <w:rsid w:val="0099732D"/>
    <w:rsid w:val="009E1304"/>
    <w:rsid w:val="00A021FF"/>
    <w:rsid w:val="00A0317B"/>
    <w:rsid w:val="00A20908"/>
    <w:rsid w:val="00A365E3"/>
    <w:rsid w:val="00A46781"/>
    <w:rsid w:val="00A813D4"/>
    <w:rsid w:val="00A923E7"/>
    <w:rsid w:val="00A96BE8"/>
    <w:rsid w:val="00AA3EF0"/>
    <w:rsid w:val="00AD7368"/>
    <w:rsid w:val="00AD7DE7"/>
    <w:rsid w:val="00AE47E9"/>
    <w:rsid w:val="00B01B51"/>
    <w:rsid w:val="00B117EF"/>
    <w:rsid w:val="00B119F5"/>
    <w:rsid w:val="00B3703C"/>
    <w:rsid w:val="00B42969"/>
    <w:rsid w:val="00B4716F"/>
    <w:rsid w:val="00B54F5D"/>
    <w:rsid w:val="00B61A79"/>
    <w:rsid w:val="00B75124"/>
    <w:rsid w:val="00B80519"/>
    <w:rsid w:val="00B87426"/>
    <w:rsid w:val="00BC1650"/>
    <w:rsid w:val="00BD52C5"/>
    <w:rsid w:val="00C034B0"/>
    <w:rsid w:val="00C161A5"/>
    <w:rsid w:val="00C21350"/>
    <w:rsid w:val="00C345DB"/>
    <w:rsid w:val="00C53556"/>
    <w:rsid w:val="00C54AE1"/>
    <w:rsid w:val="00C72152"/>
    <w:rsid w:val="00CA1091"/>
    <w:rsid w:val="00CA6DFB"/>
    <w:rsid w:val="00CB75B6"/>
    <w:rsid w:val="00CE1772"/>
    <w:rsid w:val="00CF56A1"/>
    <w:rsid w:val="00CF7388"/>
    <w:rsid w:val="00D22F91"/>
    <w:rsid w:val="00D3180B"/>
    <w:rsid w:val="00D31F1C"/>
    <w:rsid w:val="00D427C3"/>
    <w:rsid w:val="00D46C05"/>
    <w:rsid w:val="00D502FF"/>
    <w:rsid w:val="00D65407"/>
    <w:rsid w:val="00D6584B"/>
    <w:rsid w:val="00D82004"/>
    <w:rsid w:val="00D91456"/>
    <w:rsid w:val="00D95653"/>
    <w:rsid w:val="00D963A2"/>
    <w:rsid w:val="00DA30C0"/>
    <w:rsid w:val="00DC52CB"/>
    <w:rsid w:val="00DD08CA"/>
    <w:rsid w:val="00DD23A4"/>
    <w:rsid w:val="00DE5354"/>
    <w:rsid w:val="00DF0348"/>
    <w:rsid w:val="00DF7B81"/>
    <w:rsid w:val="00E01919"/>
    <w:rsid w:val="00E073BF"/>
    <w:rsid w:val="00E359AA"/>
    <w:rsid w:val="00E50175"/>
    <w:rsid w:val="00E53945"/>
    <w:rsid w:val="00E60847"/>
    <w:rsid w:val="00E636F8"/>
    <w:rsid w:val="00E66D09"/>
    <w:rsid w:val="00E87FF2"/>
    <w:rsid w:val="00E91C60"/>
    <w:rsid w:val="00EC2570"/>
    <w:rsid w:val="00EC4CB6"/>
    <w:rsid w:val="00EE268A"/>
    <w:rsid w:val="00EE3F6D"/>
    <w:rsid w:val="00EE5497"/>
    <w:rsid w:val="00EF1D2A"/>
    <w:rsid w:val="00F266A8"/>
    <w:rsid w:val="00F43F05"/>
    <w:rsid w:val="00F51788"/>
    <w:rsid w:val="00F67FB5"/>
    <w:rsid w:val="00F90A1A"/>
    <w:rsid w:val="00F971FB"/>
    <w:rsid w:val="00FA7E8E"/>
    <w:rsid w:val="00FB04B9"/>
    <w:rsid w:val="00FB624D"/>
    <w:rsid w:val="00FC7006"/>
    <w:rsid w:val="00FD304A"/>
    <w:rsid w:val="00FD3542"/>
    <w:rsid w:val="00FE662C"/>
    <w:rsid w:val="00FF0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7CA61"/>
  <w15:chartTrackingRefBased/>
  <w15:docId w15:val="{F552B9A0-687A-4D38-9792-05FCEDE9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8AB"/>
    <w:pPr>
      <w:suppressAutoHyphens/>
    </w:pPr>
    <w:rPr>
      <w:rFonts w:ascii="New York" w:hAnsi="New York" w:cs="New York"/>
      <w:sz w:val="24"/>
      <w:lang w:val="fr-F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028AB"/>
  </w:style>
  <w:style w:type="character" w:customStyle="1" w:styleId="WW-Absatz-Standardschriftart">
    <w:name w:val="WW-Absatz-Standardschriftart"/>
    <w:rsid w:val="003028AB"/>
  </w:style>
  <w:style w:type="character" w:customStyle="1" w:styleId="WW-Absatz-Standardschriftart1">
    <w:name w:val="WW-Absatz-Standardschriftart1"/>
    <w:rsid w:val="003028AB"/>
  </w:style>
  <w:style w:type="character" w:customStyle="1" w:styleId="WW-Absatz-Standardschriftart11">
    <w:name w:val="WW-Absatz-Standardschriftart11"/>
    <w:rsid w:val="003028AB"/>
  </w:style>
  <w:style w:type="character" w:customStyle="1" w:styleId="WW-Absatz-Standardschriftart111">
    <w:name w:val="WW-Absatz-Standardschriftart111"/>
    <w:rsid w:val="003028AB"/>
  </w:style>
  <w:style w:type="character" w:customStyle="1" w:styleId="WW8Num1z1">
    <w:name w:val="WW8Num1z1"/>
    <w:rsid w:val="003028AB"/>
    <w:rPr>
      <w:rFonts w:ascii="Courier New" w:hAnsi="Courier New" w:cs="Courier New"/>
    </w:rPr>
  </w:style>
  <w:style w:type="character" w:customStyle="1" w:styleId="WW8Num1z2">
    <w:name w:val="WW8Num1z2"/>
    <w:rsid w:val="003028AB"/>
    <w:rPr>
      <w:rFonts w:ascii="Wingdings" w:hAnsi="Wingdings"/>
    </w:rPr>
  </w:style>
  <w:style w:type="character" w:customStyle="1" w:styleId="WW8Num1z3">
    <w:name w:val="WW8Num1z3"/>
    <w:rsid w:val="003028AB"/>
    <w:rPr>
      <w:rFonts w:ascii="Symbol" w:hAnsi="Symbol"/>
    </w:rPr>
  </w:style>
  <w:style w:type="character" w:customStyle="1" w:styleId="WW8Num2z0">
    <w:name w:val="WW8Num2z0"/>
    <w:rsid w:val="003028AB"/>
    <w:rPr>
      <w:rFonts w:ascii="Times New Roman" w:eastAsia="Times New Roman" w:hAnsi="Times New Roman" w:cs="Times New Roman"/>
    </w:rPr>
  </w:style>
  <w:style w:type="character" w:customStyle="1" w:styleId="WW8Num2z1">
    <w:name w:val="WW8Num2z1"/>
    <w:rsid w:val="003028AB"/>
    <w:rPr>
      <w:rFonts w:ascii="Courier New" w:hAnsi="Courier New" w:cs="Courier New"/>
    </w:rPr>
  </w:style>
  <w:style w:type="character" w:customStyle="1" w:styleId="WW8Num2z2">
    <w:name w:val="WW8Num2z2"/>
    <w:rsid w:val="003028AB"/>
    <w:rPr>
      <w:rFonts w:ascii="Wingdings" w:hAnsi="Wingdings"/>
    </w:rPr>
  </w:style>
  <w:style w:type="character" w:customStyle="1" w:styleId="WW8Num2z3">
    <w:name w:val="WW8Num2z3"/>
    <w:rsid w:val="003028AB"/>
    <w:rPr>
      <w:rFonts w:ascii="Symbol" w:hAnsi="Symbol"/>
    </w:rPr>
  </w:style>
  <w:style w:type="character" w:customStyle="1" w:styleId="WW8Num3z0">
    <w:name w:val="WW8Num3z0"/>
    <w:rsid w:val="003028AB"/>
    <w:rPr>
      <w:rFonts w:ascii="Wingdings" w:hAnsi="Wingdings"/>
    </w:rPr>
  </w:style>
  <w:style w:type="character" w:customStyle="1" w:styleId="WW8Num3z1">
    <w:name w:val="WW8Num3z1"/>
    <w:rsid w:val="003028AB"/>
    <w:rPr>
      <w:rFonts w:ascii="Courier New" w:hAnsi="Courier New" w:cs="Courier New"/>
    </w:rPr>
  </w:style>
  <w:style w:type="character" w:customStyle="1" w:styleId="WW8Num3z3">
    <w:name w:val="WW8Num3z3"/>
    <w:rsid w:val="003028AB"/>
    <w:rPr>
      <w:rFonts w:ascii="Symbol" w:hAnsi="Symbol"/>
    </w:rPr>
  </w:style>
  <w:style w:type="character" w:customStyle="1" w:styleId="WW8Num8z0">
    <w:name w:val="WW8Num8z0"/>
    <w:rsid w:val="003028AB"/>
    <w:rPr>
      <w:rFonts w:ascii="Wingdings" w:hAnsi="Wingdings"/>
    </w:rPr>
  </w:style>
  <w:style w:type="character" w:customStyle="1" w:styleId="WW8Num8z1">
    <w:name w:val="WW8Num8z1"/>
    <w:rsid w:val="003028AB"/>
    <w:rPr>
      <w:rFonts w:ascii="Courier New" w:hAnsi="Courier New" w:cs="Courier New"/>
    </w:rPr>
  </w:style>
  <w:style w:type="character" w:customStyle="1" w:styleId="WW8Num8z3">
    <w:name w:val="WW8Num8z3"/>
    <w:rsid w:val="003028AB"/>
    <w:rPr>
      <w:rFonts w:ascii="Symbol" w:hAnsi="Symbol"/>
    </w:rPr>
  </w:style>
  <w:style w:type="character" w:customStyle="1" w:styleId="WW8Num9z0">
    <w:name w:val="WW8Num9z0"/>
    <w:rsid w:val="003028AB"/>
    <w:rPr>
      <w:rFonts w:ascii="Wingdings" w:hAnsi="Wingdings"/>
    </w:rPr>
  </w:style>
  <w:style w:type="character" w:customStyle="1" w:styleId="WW8Num9z1">
    <w:name w:val="WW8Num9z1"/>
    <w:rsid w:val="003028AB"/>
    <w:rPr>
      <w:rFonts w:ascii="Courier New" w:hAnsi="Courier New" w:cs="Courier New"/>
    </w:rPr>
  </w:style>
  <w:style w:type="character" w:customStyle="1" w:styleId="WW8Num9z3">
    <w:name w:val="WW8Num9z3"/>
    <w:rsid w:val="003028AB"/>
    <w:rPr>
      <w:rFonts w:ascii="Symbol" w:hAnsi="Symbol"/>
    </w:rPr>
  </w:style>
  <w:style w:type="character" w:customStyle="1" w:styleId="WW8Num10z0">
    <w:name w:val="WW8Num10z0"/>
    <w:rsid w:val="003028AB"/>
    <w:rPr>
      <w:rFonts w:ascii="Wingdings" w:hAnsi="Wingdings"/>
    </w:rPr>
  </w:style>
  <w:style w:type="character" w:customStyle="1" w:styleId="WW8Num10z1">
    <w:name w:val="WW8Num10z1"/>
    <w:rsid w:val="003028AB"/>
    <w:rPr>
      <w:rFonts w:ascii="Courier New" w:hAnsi="Courier New" w:cs="Courier New"/>
    </w:rPr>
  </w:style>
  <w:style w:type="character" w:customStyle="1" w:styleId="WW8Num10z3">
    <w:name w:val="WW8Num10z3"/>
    <w:rsid w:val="003028AB"/>
    <w:rPr>
      <w:rFonts w:ascii="Symbol" w:hAnsi="Symbol"/>
    </w:rPr>
  </w:style>
  <w:style w:type="character" w:customStyle="1" w:styleId="Policepardfaut1">
    <w:name w:val="Police par défaut1"/>
    <w:rsid w:val="003028AB"/>
  </w:style>
  <w:style w:type="character" w:customStyle="1" w:styleId="FootnoteCharacters">
    <w:name w:val="Footnote Characters"/>
    <w:rsid w:val="003028AB"/>
    <w:rPr>
      <w:position w:val="1"/>
      <w:sz w:val="16"/>
    </w:rPr>
  </w:style>
  <w:style w:type="character" w:styleId="a3">
    <w:name w:val="page number"/>
    <w:basedOn w:val="Policepardfaut1"/>
    <w:rsid w:val="003028AB"/>
  </w:style>
  <w:style w:type="character" w:customStyle="1" w:styleId="CarCar1">
    <w:name w:val="Car Car1"/>
    <w:rsid w:val="003028AB"/>
    <w:rPr>
      <w:sz w:val="24"/>
    </w:rPr>
  </w:style>
  <w:style w:type="character" w:customStyle="1" w:styleId="CarCar">
    <w:name w:val="Car Car"/>
    <w:rsid w:val="003028AB"/>
    <w:rPr>
      <w:rFonts w:ascii="Tahoma" w:hAnsi="Tahoma" w:cs="Tahoma"/>
      <w:sz w:val="16"/>
      <w:szCs w:val="16"/>
    </w:rPr>
  </w:style>
  <w:style w:type="character" w:customStyle="1" w:styleId="stitrecomplet">
    <w:name w:val="stitre_complet"/>
    <w:basedOn w:val="Policepardfaut1"/>
    <w:rsid w:val="003028AB"/>
  </w:style>
  <w:style w:type="character" w:styleId="a4">
    <w:name w:val="footnote reference"/>
    <w:semiHidden/>
    <w:rsid w:val="003028AB"/>
    <w:rPr>
      <w:vertAlign w:val="superscript"/>
    </w:rPr>
  </w:style>
  <w:style w:type="character" w:customStyle="1" w:styleId="EndnoteCharacters">
    <w:name w:val="Endnote Characters"/>
    <w:rsid w:val="003028AB"/>
    <w:rPr>
      <w:vertAlign w:val="superscript"/>
    </w:rPr>
  </w:style>
  <w:style w:type="character" w:customStyle="1" w:styleId="WW-EndnoteCharacters">
    <w:name w:val="WW-Endnote Characters"/>
    <w:rsid w:val="003028AB"/>
  </w:style>
  <w:style w:type="character" w:styleId="a5">
    <w:name w:val="endnote reference"/>
    <w:semiHidden/>
    <w:rsid w:val="003028AB"/>
    <w:rPr>
      <w:vertAlign w:val="superscript"/>
    </w:rPr>
  </w:style>
  <w:style w:type="paragraph" w:customStyle="1" w:styleId="Heading">
    <w:name w:val="Heading"/>
    <w:basedOn w:val="a"/>
    <w:next w:val="a6"/>
    <w:rsid w:val="003028AB"/>
    <w:pPr>
      <w:keepNext/>
      <w:spacing w:before="240" w:after="120"/>
    </w:pPr>
    <w:rPr>
      <w:rFonts w:ascii="Arial" w:eastAsia="Bitstream Vera Sans" w:hAnsi="Arial" w:cs="Bitstream Vera Sans"/>
      <w:sz w:val="28"/>
      <w:szCs w:val="28"/>
    </w:rPr>
  </w:style>
  <w:style w:type="paragraph" w:styleId="a6">
    <w:name w:val="Body Text"/>
    <w:basedOn w:val="a"/>
    <w:rsid w:val="003028AB"/>
    <w:pPr>
      <w:jc w:val="both"/>
    </w:pPr>
    <w:rPr>
      <w:rFonts w:ascii="Times" w:hAnsi="Times"/>
      <w:sz w:val="20"/>
      <w:lang w:val="en-GB"/>
    </w:rPr>
  </w:style>
  <w:style w:type="paragraph" w:styleId="a7">
    <w:name w:val="List"/>
    <w:basedOn w:val="a6"/>
    <w:rsid w:val="003028AB"/>
  </w:style>
  <w:style w:type="paragraph" w:customStyle="1" w:styleId="1">
    <w:name w:val="Название объекта1"/>
    <w:basedOn w:val="a"/>
    <w:rsid w:val="003028AB"/>
    <w:pPr>
      <w:suppressLineNumbers/>
      <w:spacing w:before="120" w:after="120"/>
    </w:pPr>
    <w:rPr>
      <w:i/>
      <w:iCs/>
      <w:szCs w:val="24"/>
    </w:rPr>
  </w:style>
  <w:style w:type="paragraph" w:customStyle="1" w:styleId="Index">
    <w:name w:val="Index"/>
    <w:basedOn w:val="a"/>
    <w:rsid w:val="003028AB"/>
    <w:pPr>
      <w:suppressLineNumbers/>
    </w:pPr>
  </w:style>
  <w:style w:type="paragraph" w:styleId="a8">
    <w:name w:val="footer"/>
    <w:basedOn w:val="a"/>
    <w:link w:val="a9"/>
    <w:uiPriority w:val="99"/>
    <w:rsid w:val="003028AB"/>
  </w:style>
  <w:style w:type="paragraph" w:styleId="aa">
    <w:name w:val="footnote text"/>
    <w:basedOn w:val="a"/>
    <w:semiHidden/>
    <w:rsid w:val="003028AB"/>
    <w:rPr>
      <w:sz w:val="20"/>
    </w:rPr>
  </w:style>
  <w:style w:type="paragraph" w:customStyle="1" w:styleId="ref">
    <w:name w:val="ref"/>
    <w:basedOn w:val="a"/>
    <w:rsid w:val="003028AB"/>
    <w:pPr>
      <w:spacing w:line="480" w:lineRule="atLeast"/>
      <w:jc w:val="both"/>
    </w:pPr>
    <w:rPr>
      <w:rFonts w:ascii="Times" w:hAnsi="Times"/>
    </w:rPr>
  </w:style>
  <w:style w:type="paragraph" w:styleId="ab">
    <w:name w:val="header"/>
    <w:basedOn w:val="a"/>
    <w:rsid w:val="003028AB"/>
  </w:style>
  <w:style w:type="paragraph" w:styleId="ac">
    <w:name w:val="Balloon Text"/>
    <w:basedOn w:val="a"/>
    <w:rsid w:val="003028AB"/>
    <w:rPr>
      <w:rFonts w:ascii="Tahoma" w:hAnsi="Tahoma" w:cs="Tahoma"/>
      <w:sz w:val="16"/>
      <w:szCs w:val="16"/>
    </w:rPr>
  </w:style>
  <w:style w:type="paragraph" w:styleId="ad">
    <w:name w:val="List Paragraph"/>
    <w:basedOn w:val="a"/>
    <w:qFormat/>
    <w:rsid w:val="003028AB"/>
    <w:pPr>
      <w:ind w:left="720"/>
    </w:pPr>
  </w:style>
  <w:style w:type="paragraph" w:customStyle="1" w:styleId="TableContents">
    <w:name w:val="Table Contents"/>
    <w:basedOn w:val="a"/>
    <w:rsid w:val="003028AB"/>
    <w:pPr>
      <w:suppressLineNumbers/>
    </w:pPr>
  </w:style>
  <w:style w:type="paragraph" w:customStyle="1" w:styleId="TableHeading">
    <w:name w:val="Table Heading"/>
    <w:basedOn w:val="TableContents"/>
    <w:rsid w:val="003028AB"/>
    <w:pPr>
      <w:jc w:val="center"/>
    </w:pPr>
    <w:rPr>
      <w:b/>
      <w:bCs/>
    </w:rPr>
  </w:style>
  <w:style w:type="character" w:styleId="ae">
    <w:name w:val="Strong"/>
    <w:uiPriority w:val="22"/>
    <w:qFormat/>
    <w:rsid w:val="00D31F1C"/>
    <w:rPr>
      <w:b/>
      <w:bCs/>
    </w:rPr>
  </w:style>
  <w:style w:type="character" w:styleId="af">
    <w:name w:val="Hyperlink"/>
    <w:rsid w:val="00DD08CA"/>
    <w:rPr>
      <w:color w:val="0000FF"/>
      <w:u w:val="single"/>
    </w:rPr>
  </w:style>
  <w:style w:type="character" w:customStyle="1" w:styleId="a9">
    <w:name w:val="Нижний колонтитул Знак"/>
    <w:link w:val="a8"/>
    <w:uiPriority w:val="99"/>
    <w:rsid w:val="003965B9"/>
    <w:rPr>
      <w:rFonts w:ascii="New York" w:hAnsi="New York" w:cs="New York"/>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6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070EE-9C85-4B61-9C51-27A1F6765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3759</Words>
  <Characters>21432</Characters>
  <Application>Microsoft Office Word</Application>
  <DocSecurity>0</DocSecurity>
  <Lines>178</Lines>
  <Paragraphs>50</Paragraphs>
  <ScaleCrop>false</ScaleCrop>
  <HeadingPairs>
    <vt:vector size="4" baseType="variant">
      <vt:variant>
        <vt:lpstr>Название</vt:lpstr>
      </vt:variant>
      <vt:variant>
        <vt:i4>1</vt:i4>
      </vt:variant>
      <vt:variant>
        <vt:lpstr>Titre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25141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Houlbert</dc:creator>
  <cp:keywords/>
  <dc:description/>
  <cp:lastModifiedBy>Dmitry Krupenev</cp:lastModifiedBy>
  <cp:revision>4</cp:revision>
  <cp:lastPrinted>2016-03-21T02:08:00Z</cp:lastPrinted>
  <dcterms:created xsi:type="dcterms:W3CDTF">2020-08-24T01:49:00Z</dcterms:created>
  <dcterms:modified xsi:type="dcterms:W3CDTF">2020-08-26T06:32:00Z</dcterms:modified>
</cp:coreProperties>
</file>