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C0E2C" w:rsidRPr="00AC0E2C" w:rsidRDefault="00AC0E2C" w:rsidP="00FB04B9">
      <w:pPr>
        <w:spacing w:before="1247" w:after="340"/>
        <w:ind w:right="-176"/>
        <w:rPr>
          <w:rFonts w:ascii="Arial" w:hAnsi="Arial" w:cs="Arial"/>
          <w:b/>
          <w:sz w:val="32"/>
          <w:szCs w:val="32"/>
          <w:lang w:val="en-US"/>
        </w:rPr>
      </w:pPr>
      <w:r w:rsidRPr="00AC0E2C">
        <w:rPr>
          <w:rFonts w:ascii="Arial" w:hAnsi="Arial" w:cs="Arial"/>
          <w:b/>
          <w:sz w:val="32"/>
          <w:szCs w:val="32"/>
          <w:lang w:val="en-US"/>
        </w:rPr>
        <w:t xml:space="preserve">Comparative analysis of </w:t>
      </w:r>
      <w:r w:rsidR="00202A7E" w:rsidRPr="00AC0E2C">
        <w:rPr>
          <w:rFonts w:ascii="Arial" w:hAnsi="Arial" w:cs="Arial"/>
          <w:b/>
          <w:sz w:val="32"/>
          <w:szCs w:val="32"/>
          <w:lang w:val="en-US"/>
        </w:rPr>
        <w:t xml:space="preserve">Azerbaijan's energy sector </w:t>
      </w:r>
      <w:r w:rsidRPr="00AC0E2C">
        <w:rPr>
          <w:rFonts w:ascii="Arial" w:hAnsi="Arial" w:cs="Arial"/>
          <w:b/>
          <w:sz w:val="32"/>
          <w:szCs w:val="32"/>
          <w:lang w:val="en-US"/>
        </w:rPr>
        <w:t xml:space="preserve">efficiency </w:t>
      </w:r>
      <w:r>
        <w:rPr>
          <w:rFonts w:ascii="Arial" w:hAnsi="Arial" w:cs="Arial"/>
          <w:b/>
          <w:sz w:val="32"/>
          <w:szCs w:val="32"/>
          <w:lang w:val="en-US"/>
        </w:rPr>
        <w:t>trend</w:t>
      </w:r>
      <w:r w:rsidRPr="00AC0E2C">
        <w:rPr>
          <w:rFonts w:ascii="Arial" w:hAnsi="Arial" w:cs="Arial"/>
          <w:b/>
          <w:sz w:val="32"/>
          <w:szCs w:val="32"/>
          <w:lang w:val="en-US"/>
        </w:rPr>
        <w:t xml:space="preserve"> at the current development stage </w:t>
      </w:r>
    </w:p>
    <w:p w:rsidR="002D0F6C" w:rsidRPr="00DD08CA" w:rsidRDefault="00354FFD" w:rsidP="00BB6E2E">
      <w:pPr>
        <w:ind w:right="-176"/>
        <w:rPr>
          <w:rFonts w:ascii="Times New Roman" w:hAnsi="Times New Roman" w:cs="Times New Roman"/>
          <w:bCs/>
          <w:sz w:val="20"/>
          <w:lang w:val="en-GB"/>
        </w:rPr>
      </w:pPr>
      <w:r>
        <w:rPr>
          <w:rFonts w:ascii="Times New Roman" w:hAnsi="Times New Roman" w:cs="Times New Roman"/>
          <w:bCs/>
          <w:i/>
          <w:sz w:val="20"/>
          <w:lang w:val="en-GB"/>
        </w:rPr>
        <w:t>Nurali Yusifbayli</w:t>
      </w:r>
      <w:r w:rsidR="002D0F6C" w:rsidRPr="00DD08CA">
        <w:rPr>
          <w:rFonts w:ascii="Times New Roman" w:hAnsi="Times New Roman" w:cs="Times New Roman"/>
          <w:bCs/>
          <w:sz w:val="20"/>
          <w:vertAlign w:val="superscript"/>
          <w:lang w:val="en-GB"/>
        </w:rPr>
        <w:t>1</w:t>
      </w:r>
      <w:r w:rsidR="00754AB7" w:rsidRPr="00DD08CA">
        <w:rPr>
          <w:rFonts w:ascii="Times New Roman" w:hAnsi="Times New Roman" w:cs="Times New Roman"/>
          <w:bCs/>
          <w:sz w:val="20"/>
          <w:vertAlign w:val="superscript"/>
          <w:lang w:val="en-GB"/>
        </w:rPr>
        <w:t>,</w:t>
      </w:r>
      <w:r w:rsidR="00FB04B9">
        <w:rPr>
          <w:rFonts w:ascii="Times New Roman" w:hAnsi="Times New Roman" w:cs="Times New Roman"/>
          <w:bCs/>
          <w:sz w:val="20"/>
          <w:vertAlign w:val="superscript"/>
          <w:lang w:val="en-GB"/>
        </w:rPr>
        <w:t>*</w:t>
      </w:r>
      <w:r w:rsidR="002D0F6C" w:rsidRPr="00DD08CA">
        <w:rPr>
          <w:rFonts w:ascii="Times New Roman" w:hAnsi="Times New Roman" w:cs="Times New Roman"/>
          <w:bCs/>
          <w:sz w:val="20"/>
          <w:lang w:val="en-GB"/>
        </w:rPr>
        <w:t xml:space="preserve">, </w:t>
      </w:r>
      <w:r>
        <w:rPr>
          <w:rFonts w:ascii="Times New Roman" w:hAnsi="Times New Roman" w:cs="Times New Roman"/>
          <w:bCs/>
          <w:i/>
          <w:sz w:val="20"/>
          <w:lang w:val="en-GB"/>
        </w:rPr>
        <w:t>Valeh Nasibov</w:t>
      </w:r>
      <w:r w:rsidR="002D0F6C" w:rsidRPr="00DD08CA">
        <w:rPr>
          <w:rFonts w:ascii="Times New Roman" w:hAnsi="Times New Roman" w:cs="Times New Roman"/>
          <w:bCs/>
          <w:sz w:val="20"/>
          <w:vertAlign w:val="superscript"/>
          <w:lang w:val="en-GB"/>
        </w:rPr>
        <w:t>2</w:t>
      </w:r>
      <w:r w:rsidR="002D0F6C" w:rsidRPr="00DD08CA">
        <w:rPr>
          <w:rFonts w:ascii="Times New Roman" w:hAnsi="Times New Roman" w:cs="Times New Roman"/>
          <w:bCs/>
          <w:sz w:val="20"/>
          <w:lang w:val="en-GB"/>
        </w:rPr>
        <w:t xml:space="preserve"> </w:t>
      </w:r>
      <w:r w:rsidR="00390553">
        <w:rPr>
          <w:rFonts w:ascii="Times New Roman" w:hAnsi="Times New Roman" w:cs="Times New Roman"/>
          <w:bCs/>
          <w:sz w:val="20"/>
          <w:lang w:val="en-GB"/>
        </w:rPr>
        <w:t xml:space="preserve"> </w:t>
      </w:r>
    </w:p>
    <w:p w:rsidR="002D0F6C" w:rsidRPr="00DD08CA" w:rsidRDefault="002D0F6C" w:rsidP="00B75124">
      <w:pPr>
        <w:spacing w:before="170"/>
        <w:ind w:right="-174"/>
        <w:rPr>
          <w:rFonts w:ascii="Times New Roman" w:hAnsi="Times New Roman" w:cs="Times New Roman"/>
          <w:bCs/>
          <w:iCs/>
          <w:sz w:val="18"/>
          <w:szCs w:val="18"/>
          <w:lang w:val="en-GB"/>
        </w:rPr>
      </w:pPr>
      <w:r w:rsidRPr="00DD08CA">
        <w:rPr>
          <w:rFonts w:ascii="Times New Roman" w:hAnsi="Times New Roman" w:cs="Times New Roman"/>
          <w:bCs/>
          <w:sz w:val="18"/>
          <w:szCs w:val="18"/>
          <w:vertAlign w:val="superscript"/>
          <w:lang w:val="en-GB"/>
        </w:rPr>
        <w:t>1</w:t>
      </w:r>
      <w:r w:rsidR="00A71D76" w:rsidRPr="00A71D76">
        <w:rPr>
          <w:rFonts w:ascii="Arial" w:hAnsi="Arial" w:cs="Arial"/>
          <w:color w:val="4D5156"/>
          <w:sz w:val="16"/>
          <w:szCs w:val="16"/>
          <w:shd w:val="clear" w:color="auto" w:fill="FFFFFF"/>
        </w:rPr>
        <w:t xml:space="preserve"> </w:t>
      </w:r>
      <w:r w:rsidR="00A71D76" w:rsidRPr="003745E9">
        <w:rPr>
          <w:rFonts w:ascii="Times New Roman" w:hAnsi="Times New Roman" w:cs="Times New Roman"/>
          <w:sz w:val="18"/>
          <w:szCs w:val="18"/>
          <w:shd w:val="clear" w:color="auto" w:fill="FFFFFF"/>
        </w:rPr>
        <w:t>Azerbaijan State University of Oil and Industry,</w:t>
      </w:r>
      <w:r w:rsidR="00A71D76" w:rsidRPr="003745E9">
        <w:rPr>
          <w:rFonts w:ascii="Times New Roman" w:hAnsi="Times New Roman" w:cs="Times New Roman"/>
          <w:bCs/>
          <w:iCs/>
          <w:sz w:val="18"/>
          <w:szCs w:val="18"/>
          <w:lang w:val="en-GB"/>
        </w:rPr>
        <w:t xml:space="preserve"> </w:t>
      </w:r>
      <w:r w:rsidR="003745E9" w:rsidRPr="003745E9">
        <w:rPr>
          <w:rFonts w:ascii="Times New Roman" w:hAnsi="Times New Roman" w:cs="Times New Roman"/>
          <w:color w:val="222222"/>
          <w:sz w:val="18"/>
          <w:szCs w:val="18"/>
          <w:shd w:val="clear" w:color="auto" w:fill="FFFFFF"/>
        </w:rPr>
        <w:t>16/21</w:t>
      </w:r>
      <w:r w:rsidR="003745E9">
        <w:rPr>
          <w:rFonts w:ascii="Times New Roman" w:hAnsi="Times New Roman" w:cs="Times New Roman"/>
          <w:color w:val="222222"/>
          <w:sz w:val="18"/>
          <w:szCs w:val="18"/>
          <w:shd w:val="clear" w:color="auto" w:fill="FFFFFF"/>
        </w:rPr>
        <w:t xml:space="preserve"> </w:t>
      </w:r>
      <w:r w:rsidR="00A71D76" w:rsidRPr="003745E9">
        <w:rPr>
          <w:rFonts w:ascii="Times New Roman" w:hAnsi="Times New Roman" w:cs="Times New Roman"/>
          <w:color w:val="222222"/>
          <w:sz w:val="18"/>
          <w:szCs w:val="18"/>
          <w:shd w:val="clear" w:color="auto" w:fill="FFFFFF"/>
        </w:rPr>
        <w:t>Azadliq</w:t>
      </w:r>
      <w:r w:rsidR="003745E9" w:rsidRPr="003745E9">
        <w:rPr>
          <w:rFonts w:ascii="Times New Roman" w:hAnsi="Times New Roman" w:cs="Times New Roman"/>
          <w:color w:val="222222"/>
          <w:sz w:val="18"/>
          <w:szCs w:val="18"/>
          <w:shd w:val="clear" w:color="auto" w:fill="FFFFFF"/>
        </w:rPr>
        <w:t xml:space="preserve">, </w:t>
      </w:r>
      <w:r w:rsidR="00A71D76" w:rsidRPr="003745E9">
        <w:rPr>
          <w:rFonts w:ascii="Times New Roman" w:hAnsi="Times New Roman" w:cs="Times New Roman"/>
          <w:sz w:val="18"/>
          <w:szCs w:val="18"/>
          <w:lang w:val="en-US"/>
        </w:rPr>
        <w:t>Baku, Azerbaijan</w:t>
      </w:r>
    </w:p>
    <w:p w:rsidR="002D0F6C" w:rsidRPr="00605C5D" w:rsidRDefault="00605C5D" w:rsidP="00AC0E2C">
      <w:pPr>
        <w:tabs>
          <w:tab w:val="left" w:pos="6946"/>
        </w:tabs>
        <w:ind w:right="-174"/>
        <w:rPr>
          <w:rFonts w:ascii="Times New Roman" w:hAnsi="Times New Roman" w:cs="Times New Roman"/>
          <w:bCs/>
          <w:iCs/>
          <w:sz w:val="18"/>
          <w:szCs w:val="18"/>
          <w:lang w:val="en-US"/>
        </w:rPr>
      </w:pPr>
      <w:r>
        <w:rPr>
          <w:rFonts w:ascii="Times New Roman" w:hAnsi="Times New Roman" w:cs="Times New Roman"/>
          <w:bCs/>
          <w:sz w:val="18"/>
          <w:szCs w:val="18"/>
          <w:vertAlign w:val="superscript"/>
          <w:lang w:val="en-GB"/>
        </w:rPr>
        <w:t>2</w:t>
      </w:r>
      <w:r>
        <w:rPr>
          <w:rFonts w:ascii="Times New Roman" w:hAnsi="Times New Roman" w:cs="Times New Roman"/>
          <w:sz w:val="18"/>
          <w:szCs w:val="18"/>
        </w:rPr>
        <w:t>Azerbaijan</w:t>
      </w:r>
      <w:r w:rsidRPr="00605618">
        <w:rPr>
          <w:rFonts w:ascii="Times New Roman" w:hAnsi="Times New Roman" w:cs="Times New Roman"/>
          <w:sz w:val="18"/>
          <w:szCs w:val="18"/>
        </w:rPr>
        <w:t xml:space="preserve"> Scientific – Research </w:t>
      </w:r>
      <w:r>
        <w:rPr>
          <w:rFonts w:ascii="Times New Roman" w:hAnsi="Times New Roman" w:cs="Times New Roman"/>
          <w:sz w:val="18"/>
          <w:szCs w:val="18"/>
        </w:rPr>
        <w:t>and Design</w:t>
      </w:r>
      <w:r w:rsidRPr="00605618">
        <w:rPr>
          <w:rFonts w:ascii="Times New Roman" w:hAnsi="Times New Roman" w:cs="Times New Roman"/>
          <w:sz w:val="18"/>
          <w:szCs w:val="18"/>
        </w:rPr>
        <w:t>–Prospecting Institute of Energetics</w:t>
      </w:r>
      <w:r>
        <w:rPr>
          <w:rFonts w:ascii="Times New Roman" w:hAnsi="Times New Roman" w:cs="Times New Roman"/>
          <w:sz w:val="18"/>
          <w:szCs w:val="18"/>
          <w:lang w:val="en-US"/>
        </w:rPr>
        <w:t>, 94</w:t>
      </w:r>
      <w:r w:rsidR="00AC0E2C">
        <w:rPr>
          <w:rFonts w:ascii="Times New Roman" w:hAnsi="Times New Roman" w:cs="Times New Roman"/>
          <w:sz w:val="18"/>
          <w:szCs w:val="18"/>
          <w:lang w:val="en-US"/>
        </w:rPr>
        <w:t>,</w:t>
      </w:r>
      <w:r>
        <w:rPr>
          <w:rFonts w:ascii="Times New Roman" w:hAnsi="Times New Roman" w:cs="Times New Roman"/>
          <w:sz w:val="18"/>
          <w:szCs w:val="18"/>
          <w:lang w:val="en-US"/>
        </w:rPr>
        <w:t xml:space="preserve"> Zardabi, Baku, Azerbaijan</w:t>
      </w:r>
    </w:p>
    <w:p w:rsidR="002D0F6C" w:rsidRPr="000E4BE9" w:rsidRDefault="002D0F6C" w:rsidP="002F0E98">
      <w:pPr>
        <w:tabs>
          <w:tab w:val="left" w:pos="3544"/>
        </w:tabs>
        <w:spacing w:before="454" w:after="567" w:line="276" w:lineRule="auto"/>
        <w:ind w:left="964" w:right="964"/>
        <w:jc w:val="both"/>
        <w:rPr>
          <w:rFonts w:ascii="Times New Roman" w:hAnsi="Times New Roman" w:cs="Times New Roman"/>
          <w:sz w:val="17"/>
          <w:szCs w:val="17"/>
        </w:rPr>
      </w:pPr>
      <w:r w:rsidRPr="00DD08CA">
        <w:rPr>
          <w:rFonts w:ascii="Arial" w:hAnsi="Arial" w:cs="Arial"/>
          <w:b/>
          <w:sz w:val="18"/>
          <w:szCs w:val="18"/>
          <w:lang w:val="en-GB"/>
        </w:rPr>
        <w:t>Abstract</w:t>
      </w:r>
      <w:r w:rsidRPr="0002247E">
        <w:rPr>
          <w:rFonts w:ascii="Arial" w:hAnsi="Arial" w:cs="Arial"/>
          <w:b/>
          <w:sz w:val="18"/>
          <w:szCs w:val="18"/>
          <w:lang w:val="en-US"/>
        </w:rPr>
        <w:t>.</w:t>
      </w:r>
      <w:r w:rsidRPr="0002247E">
        <w:rPr>
          <w:rFonts w:ascii="Times New Roman" w:hAnsi="Times New Roman" w:cs="Times New Roman"/>
          <w:sz w:val="18"/>
          <w:szCs w:val="18"/>
          <w:lang w:val="en-US"/>
        </w:rPr>
        <w:t xml:space="preserve"> </w:t>
      </w:r>
      <w:r w:rsidR="00AC0E2C">
        <w:rPr>
          <w:rFonts w:ascii="Times New Roman" w:hAnsi="Times New Roman" w:cs="Times New Roman"/>
          <w:sz w:val="18"/>
          <w:szCs w:val="18"/>
        </w:rPr>
        <w:t>M</w:t>
      </w:r>
      <w:r w:rsidR="00AC0E2C" w:rsidRPr="00AC0E2C">
        <w:rPr>
          <w:rFonts w:ascii="Times New Roman" w:hAnsi="Times New Roman" w:cs="Times New Roman"/>
          <w:sz w:val="18"/>
          <w:szCs w:val="18"/>
        </w:rPr>
        <w:t>ethodological and practical aspects of the</w:t>
      </w:r>
      <w:r w:rsidR="00AC0E2C">
        <w:rPr>
          <w:rFonts w:ascii="Times New Roman" w:hAnsi="Times New Roman" w:cs="Times New Roman"/>
          <w:sz w:val="18"/>
          <w:szCs w:val="18"/>
        </w:rPr>
        <w:t xml:space="preserve"> energy sector efficiency trend</w:t>
      </w:r>
      <w:r w:rsidR="00AC0E2C" w:rsidRPr="00AC0E2C">
        <w:rPr>
          <w:rFonts w:ascii="Times New Roman" w:hAnsi="Times New Roman" w:cs="Times New Roman"/>
          <w:sz w:val="18"/>
          <w:szCs w:val="18"/>
        </w:rPr>
        <w:t xml:space="preserve"> in various countries of the world and Azerbaijan for 2013-2017, based on th</w:t>
      </w:r>
      <w:r w:rsidR="00AC0E2C">
        <w:rPr>
          <w:rFonts w:ascii="Times New Roman" w:hAnsi="Times New Roman" w:cs="Times New Roman"/>
          <w:sz w:val="18"/>
          <w:szCs w:val="18"/>
        </w:rPr>
        <w:t>e methodology presented by the W</w:t>
      </w:r>
      <w:r w:rsidR="00AC0E2C" w:rsidRPr="00AC0E2C">
        <w:rPr>
          <w:rFonts w:ascii="Times New Roman" w:hAnsi="Times New Roman" w:cs="Times New Roman"/>
          <w:sz w:val="18"/>
          <w:szCs w:val="18"/>
        </w:rPr>
        <w:t>orld Economic Forum (WEF)</w:t>
      </w:r>
      <w:r w:rsidR="00AC0E2C">
        <w:rPr>
          <w:rFonts w:ascii="Times New Roman" w:hAnsi="Times New Roman" w:cs="Times New Roman"/>
          <w:sz w:val="18"/>
          <w:szCs w:val="18"/>
        </w:rPr>
        <w:t>, are analyzed and considered in the paper</w:t>
      </w:r>
      <w:r w:rsidR="00AC0E2C" w:rsidRPr="00AC0E2C">
        <w:rPr>
          <w:rFonts w:ascii="Times New Roman" w:hAnsi="Times New Roman" w:cs="Times New Roman"/>
          <w:sz w:val="18"/>
          <w:szCs w:val="18"/>
        </w:rPr>
        <w:t>.</w:t>
      </w:r>
      <w:r w:rsidR="00AC0E2C">
        <w:rPr>
          <w:rFonts w:ascii="Times New Roman" w:hAnsi="Times New Roman" w:cs="Times New Roman"/>
          <w:sz w:val="18"/>
          <w:szCs w:val="18"/>
        </w:rPr>
        <w:t xml:space="preserve"> </w:t>
      </w:r>
      <w:r w:rsidR="000E4BE9" w:rsidRPr="000E4BE9">
        <w:rPr>
          <w:rFonts w:ascii="Times New Roman" w:hAnsi="Times New Roman" w:cs="Times New Roman"/>
          <w:sz w:val="18"/>
          <w:szCs w:val="18"/>
        </w:rPr>
        <w:t>The basis of the methodology for evaluating the effective energy</w:t>
      </w:r>
      <w:r w:rsidR="000E4BE9">
        <w:rPr>
          <w:rFonts w:ascii="Times New Roman" w:hAnsi="Times New Roman" w:cs="Times New Roman"/>
          <w:sz w:val="18"/>
          <w:szCs w:val="18"/>
        </w:rPr>
        <w:t xml:space="preserve"> sector </w:t>
      </w:r>
      <w:r w:rsidR="002F0E98">
        <w:rPr>
          <w:rFonts w:ascii="Times New Roman" w:hAnsi="Times New Roman" w:cs="Times New Roman"/>
          <w:sz w:val="18"/>
          <w:szCs w:val="18"/>
        </w:rPr>
        <w:t>performance</w:t>
      </w:r>
      <w:r w:rsidR="000E4BE9" w:rsidRPr="000E4BE9">
        <w:rPr>
          <w:rFonts w:ascii="Times New Roman" w:hAnsi="Times New Roman" w:cs="Times New Roman"/>
          <w:sz w:val="18"/>
          <w:szCs w:val="18"/>
        </w:rPr>
        <w:t xml:space="preserve"> is the use of an energy triangle, where the vertices are Economic growth and development, Environmental sustainability and Energy access and security, where a set of indicators with their own weight</w:t>
      </w:r>
      <w:r w:rsidR="000E4BE9">
        <w:rPr>
          <w:rFonts w:ascii="Times New Roman" w:hAnsi="Times New Roman" w:cs="Times New Roman"/>
          <w:sz w:val="18"/>
          <w:szCs w:val="18"/>
        </w:rPr>
        <w:t>ing</w:t>
      </w:r>
      <w:r w:rsidR="000E4BE9" w:rsidRPr="000E4BE9">
        <w:rPr>
          <w:rFonts w:ascii="Times New Roman" w:hAnsi="Times New Roman" w:cs="Times New Roman"/>
          <w:sz w:val="18"/>
          <w:szCs w:val="18"/>
        </w:rPr>
        <w:t xml:space="preserve"> coefficients is used to evaluate each of subsystems. </w:t>
      </w:r>
      <w:r w:rsidR="00F049B4">
        <w:rPr>
          <w:rFonts w:ascii="Times New Roman" w:hAnsi="Times New Roman" w:cs="Times New Roman"/>
          <w:sz w:val="18"/>
          <w:szCs w:val="18"/>
        </w:rPr>
        <w:t>Naturally</w:t>
      </w:r>
      <w:r w:rsidR="000E4BE9">
        <w:rPr>
          <w:rFonts w:ascii="Times New Roman" w:hAnsi="Times New Roman" w:cs="Times New Roman"/>
          <w:sz w:val="18"/>
          <w:szCs w:val="18"/>
        </w:rPr>
        <w:t xml:space="preserve">, the number of indicators </w:t>
      </w:r>
      <w:r w:rsidR="000E4BE9" w:rsidRPr="000E4BE9">
        <w:rPr>
          <w:rFonts w:ascii="Times New Roman" w:hAnsi="Times New Roman" w:cs="Times New Roman"/>
          <w:sz w:val="18"/>
          <w:szCs w:val="18"/>
        </w:rPr>
        <w:t>and the weight</w:t>
      </w:r>
      <w:r w:rsidR="000E4BE9">
        <w:rPr>
          <w:rFonts w:ascii="Times New Roman" w:hAnsi="Times New Roman" w:cs="Times New Roman"/>
          <w:sz w:val="18"/>
          <w:szCs w:val="18"/>
        </w:rPr>
        <w:t>ing</w:t>
      </w:r>
      <w:r w:rsidR="000E4BE9" w:rsidRPr="000E4BE9">
        <w:rPr>
          <w:rFonts w:ascii="Times New Roman" w:hAnsi="Times New Roman" w:cs="Times New Roman"/>
          <w:sz w:val="18"/>
          <w:szCs w:val="18"/>
        </w:rPr>
        <w:t xml:space="preserve"> coefficients are adjusted </w:t>
      </w:r>
      <w:r w:rsidR="000E4BE9">
        <w:rPr>
          <w:rFonts w:ascii="Times New Roman" w:hAnsi="Times New Roman" w:cs="Times New Roman"/>
          <w:sz w:val="18"/>
          <w:szCs w:val="18"/>
        </w:rPr>
        <w:t>in</w:t>
      </w:r>
      <w:r w:rsidR="000E4BE9" w:rsidRPr="000E4BE9">
        <w:rPr>
          <w:rFonts w:ascii="Times New Roman" w:hAnsi="Times New Roman" w:cs="Times New Roman"/>
          <w:sz w:val="18"/>
          <w:szCs w:val="18"/>
        </w:rPr>
        <w:t xml:space="preserve"> time in order to fully take into account all the features of </w:t>
      </w:r>
      <w:r w:rsidR="000E4BE9">
        <w:rPr>
          <w:rFonts w:ascii="Times New Roman" w:hAnsi="Times New Roman" w:cs="Times New Roman"/>
          <w:sz w:val="18"/>
          <w:szCs w:val="18"/>
        </w:rPr>
        <w:t xml:space="preserve">the </w:t>
      </w:r>
      <w:r w:rsidR="000E4BE9" w:rsidRPr="000E4BE9">
        <w:rPr>
          <w:rFonts w:ascii="Times New Roman" w:hAnsi="Times New Roman" w:cs="Times New Roman"/>
          <w:sz w:val="18"/>
          <w:szCs w:val="18"/>
        </w:rPr>
        <w:t>energy</w:t>
      </w:r>
      <w:r w:rsidR="000E4BE9">
        <w:rPr>
          <w:rFonts w:ascii="Times New Roman" w:hAnsi="Times New Roman" w:cs="Times New Roman"/>
          <w:sz w:val="18"/>
          <w:szCs w:val="18"/>
        </w:rPr>
        <w:t xml:space="preserve"> sector. </w:t>
      </w:r>
      <w:r w:rsidR="004C508D" w:rsidRPr="004C508D">
        <w:rPr>
          <w:rFonts w:ascii="Times New Roman" w:hAnsi="Times New Roman" w:cs="Times New Roman"/>
          <w:sz w:val="18"/>
          <w:szCs w:val="18"/>
        </w:rPr>
        <w:t xml:space="preserve"> </w:t>
      </w:r>
      <w:r w:rsidR="0039334C">
        <w:rPr>
          <w:rFonts w:ascii="Times New Roman" w:hAnsi="Times New Roman" w:cs="Times New Roman"/>
          <w:sz w:val="18"/>
          <w:szCs w:val="18"/>
        </w:rPr>
        <w:t xml:space="preserve">The </w:t>
      </w:r>
      <w:r w:rsidR="000E4BE9" w:rsidRPr="000E4BE9">
        <w:rPr>
          <w:rFonts w:ascii="Times New Roman" w:hAnsi="Times New Roman" w:cs="Times New Roman"/>
          <w:sz w:val="18"/>
          <w:szCs w:val="18"/>
        </w:rPr>
        <w:t xml:space="preserve">Azerbaijan's energy </w:t>
      </w:r>
      <w:r w:rsidR="0039334C">
        <w:rPr>
          <w:rFonts w:ascii="Times New Roman" w:hAnsi="Times New Roman" w:cs="Times New Roman"/>
          <w:sz w:val="18"/>
          <w:szCs w:val="18"/>
        </w:rPr>
        <w:t xml:space="preserve">sector </w:t>
      </w:r>
      <w:r w:rsidR="000E4BE9" w:rsidRPr="000E4BE9">
        <w:rPr>
          <w:rFonts w:ascii="Times New Roman" w:hAnsi="Times New Roman" w:cs="Times New Roman"/>
          <w:sz w:val="18"/>
          <w:szCs w:val="18"/>
        </w:rPr>
        <w:t xml:space="preserve">efficiency </w:t>
      </w:r>
      <w:r w:rsidR="0039334C">
        <w:rPr>
          <w:rFonts w:ascii="Times New Roman" w:hAnsi="Times New Roman" w:cs="Times New Roman"/>
          <w:sz w:val="18"/>
          <w:szCs w:val="18"/>
        </w:rPr>
        <w:t xml:space="preserve">values </w:t>
      </w:r>
      <w:r w:rsidR="000E4BE9" w:rsidRPr="000E4BE9">
        <w:rPr>
          <w:rFonts w:ascii="Times New Roman" w:hAnsi="Times New Roman" w:cs="Times New Roman"/>
          <w:sz w:val="18"/>
          <w:szCs w:val="18"/>
        </w:rPr>
        <w:t xml:space="preserve">for the period under review, taking into account all available indicators, </w:t>
      </w:r>
      <w:r w:rsidR="0039334C">
        <w:rPr>
          <w:rFonts w:ascii="Times New Roman" w:hAnsi="Times New Roman" w:cs="Times New Roman"/>
          <w:sz w:val="18"/>
          <w:szCs w:val="18"/>
        </w:rPr>
        <w:t xml:space="preserve">are re-calculated, </w:t>
      </w:r>
      <w:r w:rsidR="00343453">
        <w:rPr>
          <w:rFonts w:ascii="Times New Roman" w:hAnsi="Times New Roman" w:cs="Times New Roman"/>
          <w:sz w:val="18"/>
          <w:szCs w:val="18"/>
        </w:rPr>
        <w:t>due to this fact the</w:t>
      </w:r>
      <w:r w:rsidR="000E4BE9" w:rsidRPr="000E4BE9">
        <w:rPr>
          <w:rFonts w:ascii="Times New Roman" w:hAnsi="Times New Roman" w:cs="Times New Roman"/>
          <w:sz w:val="18"/>
          <w:szCs w:val="18"/>
        </w:rPr>
        <w:t xml:space="preserve"> Azerbaijan's place in the world's ranking of countries has moved several positions higher.</w:t>
      </w:r>
    </w:p>
    <w:p w:rsidR="00883007" w:rsidRPr="000E4BE9" w:rsidRDefault="00883007" w:rsidP="000E4BE9">
      <w:pPr>
        <w:spacing w:before="567" w:after="851" w:line="276" w:lineRule="auto"/>
        <w:ind w:right="851"/>
        <w:jc w:val="both"/>
        <w:rPr>
          <w:rFonts w:ascii="Arial" w:hAnsi="Arial" w:cs="Arial"/>
          <w:sz w:val="18"/>
        </w:rPr>
        <w:sectPr w:rsidR="00883007" w:rsidRPr="000E4BE9" w:rsidSect="003965B9">
          <w:headerReference w:type="even" r:id="rId8"/>
          <w:headerReference w:type="default" r:id="rId9"/>
          <w:footerReference w:type="first" r:id="rId10"/>
          <w:footnotePr>
            <w:pos w:val="beneathText"/>
            <w:numFmt w:val="lowerLetter"/>
          </w:footnotePr>
          <w:pgSz w:w="11905" w:h="16837" w:code="9"/>
          <w:pgMar w:top="1418" w:right="851" w:bottom="1134" w:left="851" w:header="680" w:footer="680" w:gutter="454"/>
          <w:cols w:space="720"/>
          <w:titlePg/>
          <w:docGrid w:linePitch="360"/>
        </w:sectPr>
      </w:pPr>
    </w:p>
    <w:p w:rsidR="00ED1EAA" w:rsidRPr="000E4BE9" w:rsidRDefault="00ED1EAA" w:rsidP="00ED1EAA">
      <w:pPr>
        <w:spacing w:before="340" w:after="170"/>
        <w:jc w:val="both"/>
        <w:rPr>
          <w:rFonts w:ascii="Arial" w:hAnsi="Arial" w:cs="Arial"/>
          <w:b/>
          <w:caps/>
          <w:szCs w:val="24"/>
          <w:lang w:val="en-US"/>
        </w:rPr>
      </w:pPr>
      <w:r w:rsidRPr="000E4BE9">
        <w:rPr>
          <w:rFonts w:ascii="Arial" w:hAnsi="Arial" w:cs="Arial"/>
          <w:b/>
          <w:caps/>
          <w:szCs w:val="24"/>
          <w:lang w:val="en-US"/>
        </w:rPr>
        <w:lastRenderedPageBreak/>
        <w:t xml:space="preserve">1 </w:t>
      </w:r>
      <w:r w:rsidRPr="008F5F01">
        <w:rPr>
          <w:rFonts w:ascii="Arial" w:hAnsi="Arial" w:cs="Arial"/>
          <w:b/>
          <w:caps/>
          <w:szCs w:val="24"/>
          <w:lang w:val="en-US"/>
        </w:rPr>
        <w:t>i</w:t>
      </w:r>
      <w:r w:rsidRPr="008F5F01">
        <w:rPr>
          <w:rFonts w:ascii="Arial" w:hAnsi="Arial" w:cs="Arial"/>
          <w:b/>
          <w:szCs w:val="24"/>
          <w:lang w:val="en-US"/>
        </w:rPr>
        <w:t>ntroduction</w:t>
      </w:r>
      <w:r w:rsidRPr="000E4BE9">
        <w:rPr>
          <w:rFonts w:ascii="Arial" w:hAnsi="Arial" w:cs="Arial"/>
          <w:b/>
          <w:caps/>
          <w:szCs w:val="24"/>
          <w:lang w:val="en-US"/>
        </w:rPr>
        <w:t xml:space="preserve"> </w:t>
      </w:r>
    </w:p>
    <w:p w:rsidR="00ED1EAA" w:rsidRPr="00BB6E2E" w:rsidRDefault="00F049B4" w:rsidP="005663AD">
      <w:pPr>
        <w:jc w:val="both"/>
        <w:rPr>
          <w:rFonts w:ascii="Times New Roman" w:hAnsi="Times New Roman" w:cs="Times New Roman"/>
          <w:sz w:val="20"/>
          <w:lang w:val="en-US"/>
        </w:rPr>
      </w:pPr>
      <w:r w:rsidRPr="00BB6E2E">
        <w:rPr>
          <w:rFonts w:ascii="Times New Roman" w:hAnsi="Times New Roman" w:cs="Times New Roman"/>
          <w:sz w:val="20"/>
        </w:rPr>
        <w:t xml:space="preserve">The basis of the methodology for evaluating the effective energy sector </w:t>
      </w:r>
      <w:r w:rsidR="002F0E98" w:rsidRPr="00BB6E2E">
        <w:rPr>
          <w:rFonts w:ascii="Times New Roman" w:hAnsi="Times New Roman" w:cs="Times New Roman"/>
          <w:sz w:val="20"/>
        </w:rPr>
        <w:t>performance</w:t>
      </w:r>
      <w:r w:rsidRPr="00BB6E2E">
        <w:rPr>
          <w:rFonts w:ascii="Times New Roman" w:hAnsi="Times New Roman" w:cs="Times New Roman"/>
          <w:sz w:val="20"/>
        </w:rPr>
        <w:t xml:space="preserve"> is the use of an energy triangle, where the vertices are Economic growth and development, Environmental sustainability and Energy access and security, where a set of indicators with their own weighting coefficients is used to evaluate each of subsystems. Naturally, the number of indicators and the weighting coefficients are adjusted in time in order to fully take into account all the features of the energy sector</w:t>
      </w:r>
      <w:r w:rsidR="003D1F80">
        <w:rPr>
          <w:rFonts w:ascii="Times New Roman" w:hAnsi="Times New Roman" w:cs="Times New Roman"/>
          <w:sz w:val="20"/>
        </w:rPr>
        <w:t xml:space="preserve"> [1-6]</w:t>
      </w:r>
      <w:r w:rsidRPr="00BB6E2E">
        <w:rPr>
          <w:rFonts w:ascii="Times New Roman" w:hAnsi="Times New Roman" w:cs="Times New Roman"/>
          <w:sz w:val="20"/>
        </w:rPr>
        <w:t>.</w:t>
      </w:r>
    </w:p>
    <w:p w:rsidR="00ED1EAA" w:rsidRPr="00ED1EAA" w:rsidRDefault="00ED1EAA" w:rsidP="00ED1EAA">
      <w:pPr>
        <w:spacing w:before="340" w:after="170"/>
        <w:jc w:val="both"/>
        <w:rPr>
          <w:rFonts w:ascii="Arial" w:hAnsi="Arial" w:cs="Arial"/>
          <w:b/>
          <w:szCs w:val="24"/>
          <w:lang w:val="en-US"/>
        </w:rPr>
      </w:pPr>
      <w:r w:rsidRPr="00ED1EAA">
        <w:rPr>
          <w:rFonts w:ascii="Arial" w:hAnsi="Arial" w:cs="Arial"/>
          <w:b/>
          <w:szCs w:val="24"/>
          <w:lang w:val="en-US"/>
        </w:rPr>
        <w:t>2 Energy Architecture Performance Index</w:t>
      </w:r>
      <w:r>
        <w:rPr>
          <w:rFonts w:ascii="Arial" w:hAnsi="Arial" w:cs="Arial"/>
          <w:b/>
          <w:szCs w:val="24"/>
          <w:lang w:val="en-US"/>
        </w:rPr>
        <w:t xml:space="preserve"> of World</w:t>
      </w:r>
    </w:p>
    <w:p w:rsidR="005663AD" w:rsidRPr="00F764B1" w:rsidRDefault="00F764B1" w:rsidP="005663AD">
      <w:pPr>
        <w:jc w:val="both"/>
        <w:rPr>
          <w:rFonts w:ascii="Times New Roman" w:hAnsi="Times New Roman" w:cs="Times New Roman"/>
          <w:sz w:val="20"/>
          <w:lang w:val="en-US"/>
        </w:rPr>
      </w:pPr>
      <w:r>
        <w:rPr>
          <w:rFonts w:ascii="Times New Roman" w:hAnsi="Times New Roman" w:cs="Times New Roman"/>
          <w:sz w:val="20"/>
          <w:lang w:val="en-US"/>
        </w:rPr>
        <w:t xml:space="preserve">For </w:t>
      </w:r>
      <w:r w:rsidRPr="00F764B1">
        <w:rPr>
          <w:rFonts w:ascii="Times New Roman" w:hAnsi="Times New Roman" w:cs="Times New Roman"/>
          <w:sz w:val="20"/>
          <w:lang w:val="en-US"/>
        </w:rPr>
        <w:t xml:space="preserve">comparative analysis of changes in the Energy Architecture Performance Index for 2013-2017, the countries of the world were grouped into seven regions, for which the corresponding </w:t>
      </w:r>
      <w:r>
        <w:rPr>
          <w:rFonts w:ascii="Times New Roman" w:hAnsi="Times New Roman" w:cs="Times New Roman"/>
          <w:sz w:val="20"/>
          <w:lang w:val="en-US"/>
        </w:rPr>
        <w:t>relationships</w:t>
      </w:r>
      <w:r w:rsidRPr="00F764B1">
        <w:rPr>
          <w:rFonts w:ascii="Times New Roman" w:hAnsi="Times New Roman" w:cs="Times New Roman"/>
          <w:sz w:val="20"/>
          <w:lang w:val="en-US"/>
        </w:rPr>
        <w:t xml:space="preserve"> were </w:t>
      </w:r>
      <w:r>
        <w:rPr>
          <w:rFonts w:ascii="Times New Roman" w:hAnsi="Times New Roman" w:cs="Times New Roman"/>
          <w:sz w:val="20"/>
          <w:lang w:val="en-US"/>
        </w:rPr>
        <w:t>constructed</w:t>
      </w:r>
      <w:r w:rsidR="003D1F80">
        <w:rPr>
          <w:rFonts w:ascii="Times New Roman" w:hAnsi="Times New Roman" w:cs="Times New Roman"/>
          <w:sz w:val="20"/>
          <w:lang w:val="en-US"/>
        </w:rPr>
        <w:t xml:space="preserve"> [2]</w:t>
      </w:r>
      <w:r w:rsidRPr="00F764B1">
        <w:rPr>
          <w:rFonts w:ascii="Times New Roman" w:hAnsi="Times New Roman" w:cs="Times New Roman"/>
          <w:sz w:val="20"/>
          <w:lang w:val="en-US"/>
        </w:rPr>
        <w:t xml:space="preserve">. The </w:t>
      </w:r>
      <w:r>
        <w:rPr>
          <w:rFonts w:ascii="Times New Roman" w:hAnsi="Times New Roman" w:cs="Times New Roman"/>
          <w:sz w:val="20"/>
          <w:lang w:val="en-US"/>
        </w:rPr>
        <w:t>relationships of the E</w:t>
      </w:r>
      <w:r w:rsidRPr="00F764B1">
        <w:rPr>
          <w:rFonts w:ascii="Times New Roman" w:hAnsi="Times New Roman" w:cs="Times New Roman"/>
          <w:sz w:val="20"/>
          <w:lang w:val="en-US"/>
        </w:rPr>
        <w:t>nergy Architecture Performance Index subsystems of the European Union countries are shown below</w:t>
      </w:r>
      <w:r>
        <w:rPr>
          <w:rFonts w:ascii="Times New Roman" w:hAnsi="Times New Roman" w:cs="Times New Roman"/>
          <w:sz w:val="20"/>
          <w:lang w:val="en-US"/>
        </w:rPr>
        <w:t>.</w:t>
      </w:r>
    </w:p>
    <w:p w:rsidR="005663AD" w:rsidRPr="00CE1E64" w:rsidRDefault="007272AB" w:rsidP="00BB6E2E">
      <w:pPr>
        <w:spacing w:after="170"/>
        <w:ind w:firstLine="284"/>
        <w:jc w:val="both"/>
        <w:rPr>
          <w:rFonts w:ascii="Times New Roman" w:hAnsi="Times New Roman" w:cs="Times New Roman"/>
          <w:sz w:val="20"/>
          <w:lang w:val="en-US"/>
        </w:rPr>
      </w:pPr>
      <w:r>
        <w:rPr>
          <w:rFonts w:ascii="Times New Roman" w:hAnsi="Times New Roman" w:cs="Times New Roman"/>
          <w:sz w:val="20"/>
          <w:lang w:val="en-US"/>
        </w:rPr>
        <w:t>As is obvious from F</w:t>
      </w:r>
      <w:r w:rsidRPr="007272AB">
        <w:rPr>
          <w:rFonts w:ascii="Times New Roman" w:hAnsi="Times New Roman" w:cs="Times New Roman"/>
          <w:sz w:val="20"/>
          <w:lang w:val="en-US"/>
        </w:rPr>
        <w:t xml:space="preserve">igure 1, during the period under review, all 3 components of </w:t>
      </w:r>
      <w:r>
        <w:rPr>
          <w:rFonts w:ascii="Times New Roman" w:hAnsi="Times New Roman" w:cs="Times New Roman"/>
          <w:sz w:val="20"/>
          <w:lang w:val="en-US"/>
        </w:rPr>
        <w:t xml:space="preserve">the </w:t>
      </w:r>
      <w:r w:rsidRPr="007272AB">
        <w:rPr>
          <w:rFonts w:ascii="Times New Roman" w:hAnsi="Times New Roman" w:cs="Times New Roman"/>
          <w:sz w:val="20"/>
          <w:lang w:val="en-US"/>
        </w:rPr>
        <w:t xml:space="preserve">energy </w:t>
      </w:r>
      <w:r>
        <w:rPr>
          <w:rFonts w:ascii="Times New Roman" w:hAnsi="Times New Roman" w:cs="Times New Roman"/>
          <w:sz w:val="20"/>
          <w:lang w:val="en-US"/>
        </w:rPr>
        <w:t xml:space="preserve">sector </w:t>
      </w:r>
      <w:r w:rsidRPr="007272AB">
        <w:rPr>
          <w:rFonts w:ascii="Times New Roman" w:hAnsi="Times New Roman" w:cs="Times New Roman"/>
          <w:sz w:val="20"/>
          <w:lang w:val="en-US"/>
        </w:rPr>
        <w:t>efficiency in European countries have a positive growth trend, where the greatest growth i</w:t>
      </w:r>
      <w:r>
        <w:rPr>
          <w:rFonts w:ascii="Times New Roman" w:hAnsi="Times New Roman" w:cs="Times New Roman"/>
          <w:sz w:val="20"/>
          <w:lang w:val="en-US"/>
        </w:rPr>
        <w:t>s observed in the E</w:t>
      </w:r>
      <w:r w:rsidRPr="007272AB">
        <w:rPr>
          <w:rFonts w:ascii="Times New Roman" w:hAnsi="Times New Roman" w:cs="Times New Roman"/>
          <w:sz w:val="20"/>
          <w:lang w:val="en-US"/>
        </w:rPr>
        <w:t>nvironmental sustainability</w:t>
      </w:r>
      <w:r w:rsidR="004240A1">
        <w:rPr>
          <w:rFonts w:ascii="Times New Roman" w:hAnsi="Times New Roman" w:cs="Times New Roman"/>
          <w:sz w:val="20"/>
          <w:lang w:val="en-US"/>
        </w:rPr>
        <w:t xml:space="preserve"> subsystem</w:t>
      </w:r>
      <w:r w:rsidRPr="007272AB">
        <w:rPr>
          <w:rFonts w:ascii="Times New Roman" w:hAnsi="Times New Roman" w:cs="Times New Roman"/>
          <w:sz w:val="20"/>
          <w:lang w:val="en-US"/>
        </w:rPr>
        <w:t xml:space="preserve">-17%, </w:t>
      </w:r>
      <w:r>
        <w:rPr>
          <w:rFonts w:ascii="Times New Roman" w:hAnsi="Times New Roman" w:cs="Times New Roman"/>
          <w:sz w:val="20"/>
          <w:lang w:val="en-US"/>
        </w:rPr>
        <w:t>E</w:t>
      </w:r>
      <w:r w:rsidRPr="007272AB">
        <w:rPr>
          <w:rFonts w:ascii="Times New Roman" w:hAnsi="Times New Roman" w:cs="Times New Roman"/>
          <w:sz w:val="20"/>
          <w:lang w:val="en-US"/>
        </w:rPr>
        <w:t xml:space="preserve">nergy </w:t>
      </w:r>
      <w:r>
        <w:rPr>
          <w:rFonts w:ascii="Times New Roman" w:hAnsi="Times New Roman" w:cs="Times New Roman"/>
          <w:sz w:val="20"/>
          <w:lang w:val="en-US"/>
        </w:rPr>
        <w:t>access</w:t>
      </w:r>
      <w:r w:rsidRPr="007272AB">
        <w:rPr>
          <w:rFonts w:ascii="Times New Roman" w:hAnsi="Times New Roman" w:cs="Times New Roman"/>
          <w:sz w:val="20"/>
          <w:lang w:val="en-US"/>
        </w:rPr>
        <w:t xml:space="preserve"> </w:t>
      </w:r>
      <w:r>
        <w:rPr>
          <w:rFonts w:ascii="Times New Roman" w:hAnsi="Times New Roman" w:cs="Times New Roman"/>
          <w:sz w:val="20"/>
          <w:lang w:val="en-US"/>
        </w:rPr>
        <w:t>and security</w:t>
      </w:r>
      <w:r w:rsidR="004240A1">
        <w:rPr>
          <w:rFonts w:ascii="Times New Roman" w:hAnsi="Times New Roman" w:cs="Times New Roman"/>
          <w:sz w:val="20"/>
          <w:lang w:val="en-US"/>
        </w:rPr>
        <w:t xml:space="preserve"> subsystem</w:t>
      </w:r>
      <w:r>
        <w:rPr>
          <w:rFonts w:ascii="Times New Roman" w:hAnsi="Times New Roman" w:cs="Times New Roman"/>
          <w:sz w:val="20"/>
          <w:lang w:val="en-US"/>
        </w:rPr>
        <w:t>-11%, E</w:t>
      </w:r>
      <w:r w:rsidRPr="007272AB">
        <w:rPr>
          <w:rFonts w:ascii="Times New Roman" w:hAnsi="Times New Roman" w:cs="Times New Roman"/>
          <w:sz w:val="20"/>
          <w:lang w:val="en-US"/>
        </w:rPr>
        <w:t>conomic growth and development</w:t>
      </w:r>
      <w:r w:rsidR="004240A1">
        <w:rPr>
          <w:rFonts w:ascii="Times New Roman" w:hAnsi="Times New Roman" w:cs="Times New Roman"/>
          <w:sz w:val="20"/>
          <w:lang w:val="en-US"/>
        </w:rPr>
        <w:t xml:space="preserve"> subsystem </w:t>
      </w:r>
      <w:r w:rsidRPr="007272AB">
        <w:rPr>
          <w:rFonts w:ascii="Times New Roman" w:hAnsi="Times New Roman" w:cs="Times New Roman"/>
          <w:sz w:val="20"/>
          <w:lang w:val="en-US"/>
        </w:rPr>
        <w:t>-</w:t>
      </w:r>
      <w:r w:rsidR="004240A1">
        <w:rPr>
          <w:rFonts w:ascii="Times New Roman" w:hAnsi="Times New Roman" w:cs="Times New Roman"/>
          <w:sz w:val="20"/>
          <w:lang w:val="en-US"/>
        </w:rPr>
        <w:t xml:space="preserve"> </w:t>
      </w:r>
      <w:r w:rsidRPr="007272AB">
        <w:rPr>
          <w:rFonts w:ascii="Times New Roman" w:hAnsi="Times New Roman" w:cs="Times New Roman"/>
          <w:sz w:val="20"/>
          <w:lang w:val="en-US"/>
        </w:rPr>
        <w:t>6%</w:t>
      </w:r>
      <w:r>
        <w:rPr>
          <w:rFonts w:ascii="Times New Roman" w:hAnsi="Times New Roman" w:cs="Times New Roman"/>
          <w:sz w:val="20"/>
          <w:lang w:val="en-US"/>
        </w:rPr>
        <w:t>.</w:t>
      </w:r>
      <w:r w:rsidR="005663AD" w:rsidRPr="007272AB">
        <w:rPr>
          <w:rFonts w:ascii="Times New Roman" w:hAnsi="Times New Roman" w:cs="Times New Roman"/>
          <w:sz w:val="20"/>
          <w:lang w:val="en-US"/>
        </w:rPr>
        <w:t xml:space="preserve"> </w:t>
      </w:r>
      <w:r>
        <w:rPr>
          <w:rFonts w:ascii="Times New Roman" w:hAnsi="Times New Roman" w:cs="Times New Roman"/>
          <w:sz w:val="20"/>
          <w:lang w:val="en-US"/>
        </w:rPr>
        <w:t xml:space="preserve">At the same time, the subsystem values themselves </w:t>
      </w:r>
      <w:r w:rsidR="008C3617">
        <w:rPr>
          <w:rFonts w:ascii="Times New Roman" w:hAnsi="Times New Roman" w:cs="Times New Roman"/>
          <w:sz w:val="20"/>
          <w:lang w:val="en-US"/>
        </w:rPr>
        <w:t>as of</w:t>
      </w:r>
      <w:r>
        <w:rPr>
          <w:rFonts w:ascii="Times New Roman" w:hAnsi="Times New Roman" w:cs="Times New Roman"/>
          <w:sz w:val="20"/>
          <w:lang w:val="en-US"/>
        </w:rPr>
        <w:t xml:space="preserve"> </w:t>
      </w:r>
      <w:r w:rsidR="00286967" w:rsidRPr="00CE1E64">
        <w:rPr>
          <w:rFonts w:ascii="Times New Roman" w:hAnsi="Times New Roman" w:cs="Times New Roman"/>
          <w:sz w:val="20"/>
          <w:lang w:val="en-US"/>
        </w:rPr>
        <w:t xml:space="preserve">2017 </w:t>
      </w:r>
      <w:r>
        <w:rPr>
          <w:rFonts w:ascii="Times New Roman" w:hAnsi="Times New Roman" w:cs="Times New Roman"/>
          <w:sz w:val="20"/>
          <w:lang w:val="en-US"/>
        </w:rPr>
        <w:t>are as follows: for</w:t>
      </w:r>
      <w:r w:rsidR="00CE1E64" w:rsidRPr="00CE1E64">
        <w:rPr>
          <w:rFonts w:ascii="Times New Roman" w:hAnsi="Times New Roman" w:cs="Times New Roman"/>
          <w:sz w:val="20"/>
          <w:lang w:val="en-US"/>
        </w:rPr>
        <w:t xml:space="preserve"> </w:t>
      </w:r>
      <w:r w:rsidR="00286967" w:rsidRPr="00CE1E64">
        <w:rPr>
          <w:rFonts w:ascii="Times New Roman" w:hAnsi="Times New Roman" w:cs="Times New Roman"/>
          <w:sz w:val="20"/>
          <w:lang w:val="en-US"/>
        </w:rPr>
        <w:t xml:space="preserve">Environmental sustainability </w:t>
      </w:r>
      <w:r>
        <w:rPr>
          <w:rFonts w:ascii="Times New Roman" w:hAnsi="Times New Roman" w:cs="Times New Roman"/>
          <w:sz w:val="20"/>
          <w:lang w:val="en-US"/>
        </w:rPr>
        <w:t xml:space="preserve">- </w:t>
      </w:r>
      <w:r w:rsidR="00286967" w:rsidRPr="00CE1E64">
        <w:rPr>
          <w:rFonts w:ascii="Times New Roman" w:hAnsi="Times New Roman" w:cs="Times New Roman"/>
          <w:sz w:val="20"/>
          <w:lang w:val="en-US"/>
        </w:rPr>
        <w:t xml:space="preserve">0.7, Energy access and </w:t>
      </w:r>
      <w:r w:rsidR="00286967" w:rsidRPr="00CE1E64">
        <w:rPr>
          <w:rFonts w:ascii="Times New Roman" w:hAnsi="Times New Roman" w:cs="Times New Roman"/>
          <w:sz w:val="20"/>
          <w:lang w:val="en-US"/>
        </w:rPr>
        <w:lastRenderedPageBreak/>
        <w:t>security</w:t>
      </w:r>
      <w:r w:rsidR="006F2AED">
        <w:rPr>
          <w:rFonts w:ascii="Times New Roman" w:hAnsi="Times New Roman" w:cs="Times New Roman"/>
          <w:sz w:val="20"/>
          <w:lang w:val="en-US"/>
        </w:rPr>
        <w:t xml:space="preserve"> </w:t>
      </w:r>
      <w:r>
        <w:rPr>
          <w:rFonts w:ascii="Times New Roman" w:hAnsi="Times New Roman" w:cs="Times New Roman"/>
          <w:sz w:val="20"/>
          <w:lang w:val="en-US"/>
        </w:rPr>
        <w:t xml:space="preserve">- </w:t>
      </w:r>
      <w:r w:rsidR="00286967" w:rsidRPr="00CE1E64">
        <w:rPr>
          <w:rFonts w:ascii="Times New Roman" w:hAnsi="Times New Roman" w:cs="Times New Roman"/>
          <w:sz w:val="20"/>
          <w:lang w:val="en-US"/>
        </w:rPr>
        <w:t xml:space="preserve">0.82, </w:t>
      </w:r>
      <w:r w:rsidR="00CE1E64" w:rsidRPr="00CE1E64">
        <w:rPr>
          <w:rFonts w:ascii="Times New Roman" w:hAnsi="Times New Roman" w:cs="Times New Roman"/>
          <w:sz w:val="20"/>
          <w:lang w:val="en-US"/>
        </w:rPr>
        <w:t>Economic growth and development</w:t>
      </w:r>
      <w:r w:rsidR="00CE1E64">
        <w:rPr>
          <w:rFonts w:ascii="Times New Roman" w:hAnsi="Times New Roman" w:cs="Times New Roman"/>
          <w:sz w:val="20"/>
          <w:lang w:val="en-US"/>
        </w:rPr>
        <w:t xml:space="preserve"> </w:t>
      </w:r>
      <w:r>
        <w:rPr>
          <w:rFonts w:ascii="Times New Roman" w:hAnsi="Times New Roman" w:cs="Times New Roman"/>
          <w:sz w:val="20"/>
          <w:lang w:val="en-US"/>
        </w:rPr>
        <w:t xml:space="preserve">- </w:t>
      </w:r>
      <w:r w:rsidR="00CE1E64">
        <w:rPr>
          <w:rFonts w:ascii="Times New Roman" w:hAnsi="Times New Roman" w:cs="Times New Roman"/>
          <w:sz w:val="20"/>
          <w:lang w:val="en-US"/>
        </w:rPr>
        <w:t>0</w:t>
      </w:r>
      <w:r w:rsidR="00CE1E64" w:rsidRPr="00CE1E64">
        <w:rPr>
          <w:rFonts w:ascii="Times New Roman" w:hAnsi="Times New Roman" w:cs="Times New Roman"/>
          <w:sz w:val="20"/>
          <w:lang w:val="en-US"/>
        </w:rPr>
        <w:t>.61.</w:t>
      </w:r>
    </w:p>
    <w:p w:rsidR="005663AD" w:rsidRPr="005663AD" w:rsidRDefault="00CF39A0" w:rsidP="005663AD">
      <w:pPr>
        <w:jc w:val="both"/>
        <w:rPr>
          <w:rFonts w:ascii="Times New Roman" w:hAnsi="Times New Roman" w:cs="Times New Roman"/>
          <w:sz w:val="20"/>
          <w:lang w:val="ru-RU"/>
        </w:rPr>
      </w:pPr>
      <w:r w:rsidRPr="00CF39A0">
        <w:rPr>
          <w:rFonts w:ascii="Times New Roman" w:hAnsi="Times New Roman" w:cs="Times New Roman"/>
          <w:noProof/>
          <w:sz w:val="20"/>
          <w:lang w:val="en-US" w:eastAsia="en-US"/>
        </w:rPr>
        <w:drawing>
          <wp:inline distT="0" distB="0" distL="0" distR="0">
            <wp:extent cx="2664000" cy="1910687"/>
            <wp:effectExtent l="0" t="0" r="0" b="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663AD" w:rsidRPr="007B3E69" w:rsidRDefault="005663AD" w:rsidP="00BB6E2E">
      <w:pPr>
        <w:tabs>
          <w:tab w:val="left" w:pos="340"/>
        </w:tabs>
        <w:spacing w:before="170" w:after="170"/>
        <w:jc w:val="both"/>
        <w:rPr>
          <w:rFonts w:ascii="Times" w:hAnsi="Times"/>
          <w:sz w:val="20"/>
          <w:lang w:val="en-US"/>
        </w:rPr>
      </w:pPr>
      <w:r w:rsidRPr="00CA1091">
        <w:rPr>
          <w:rFonts w:ascii="Times New Roman" w:hAnsi="Times New Roman"/>
          <w:b/>
          <w:sz w:val="18"/>
          <w:szCs w:val="18"/>
          <w:lang w:val="en-GB"/>
        </w:rPr>
        <w:t>Fig</w:t>
      </w:r>
      <w:r>
        <w:rPr>
          <w:rFonts w:ascii="Times New Roman" w:hAnsi="Times New Roman"/>
          <w:b/>
          <w:sz w:val="18"/>
          <w:szCs w:val="18"/>
          <w:lang w:val="en-GB"/>
        </w:rPr>
        <w:t>.</w:t>
      </w:r>
      <w:r w:rsidRPr="00CA1091">
        <w:rPr>
          <w:rFonts w:ascii="Times New Roman" w:hAnsi="Times New Roman"/>
          <w:b/>
          <w:sz w:val="18"/>
          <w:szCs w:val="18"/>
          <w:lang w:val="en-GB"/>
        </w:rPr>
        <w:t xml:space="preserve"> 1</w:t>
      </w:r>
      <w:r w:rsidRPr="00CA1091">
        <w:rPr>
          <w:rFonts w:ascii="Times New Roman" w:hAnsi="Times New Roman"/>
          <w:b/>
          <w:bCs/>
          <w:sz w:val="18"/>
          <w:szCs w:val="18"/>
          <w:lang w:val="en-GB"/>
        </w:rPr>
        <w:t>.</w:t>
      </w:r>
      <w:r w:rsidRPr="00CA1091">
        <w:rPr>
          <w:rFonts w:ascii="Times New Roman" w:hAnsi="Times New Roman"/>
          <w:sz w:val="18"/>
          <w:szCs w:val="18"/>
          <w:lang w:val="en-GB"/>
        </w:rPr>
        <w:t xml:space="preserve"> </w:t>
      </w:r>
      <w:r w:rsidR="007B3E69" w:rsidRPr="007B3E69">
        <w:rPr>
          <w:rFonts w:ascii="Times New Roman" w:hAnsi="Times New Roman"/>
          <w:sz w:val="18"/>
          <w:szCs w:val="18"/>
          <w:lang w:val="en-GB"/>
        </w:rPr>
        <w:t>Energy</w:t>
      </w:r>
      <w:r w:rsidR="007B3E69" w:rsidRPr="007B3E69">
        <w:rPr>
          <w:rFonts w:ascii="Times New Roman" w:hAnsi="Times New Roman"/>
          <w:sz w:val="18"/>
          <w:szCs w:val="18"/>
          <w:lang w:val="en-US"/>
        </w:rPr>
        <w:t xml:space="preserve"> </w:t>
      </w:r>
      <w:r w:rsidR="007B3E69" w:rsidRPr="007B3E69">
        <w:rPr>
          <w:rFonts w:ascii="Times New Roman" w:hAnsi="Times New Roman"/>
          <w:sz w:val="18"/>
          <w:szCs w:val="18"/>
          <w:lang w:val="en-GB"/>
        </w:rPr>
        <w:t>Architecture</w:t>
      </w:r>
      <w:r w:rsidR="007B3E69" w:rsidRPr="007B3E69">
        <w:rPr>
          <w:rFonts w:ascii="Times New Roman" w:hAnsi="Times New Roman"/>
          <w:sz w:val="18"/>
          <w:szCs w:val="18"/>
          <w:lang w:val="en-US"/>
        </w:rPr>
        <w:t xml:space="preserve"> </w:t>
      </w:r>
      <w:r w:rsidR="007B3E69" w:rsidRPr="007B3E69">
        <w:rPr>
          <w:rFonts w:ascii="Times New Roman" w:hAnsi="Times New Roman"/>
          <w:sz w:val="18"/>
          <w:szCs w:val="18"/>
          <w:lang w:val="en-GB"/>
        </w:rPr>
        <w:t>Performance</w:t>
      </w:r>
      <w:r w:rsidR="007B3E69" w:rsidRPr="007B3E69">
        <w:rPr>
          <w:rFonts w:ascii="Times New Roman" w:hAnsi="Times New Roman"/>
          <w:sz w:val="18"/>
          <w:szCs w:val="18"/>
          <w:lang w:val="en-US"/>
        </w:rPr>
        <w:t xml:space="preserve"> </w:t>
      </w:r>
      <w:r w:rsidR="007B3E69" w:rsidRPr="007B3E69">
        <w:rPr>
          <w:rFonts w:ascii="Times New Roman" w:hAnsi="Times New Roman"/>
          <w:sz w:val="18"/>
          <w:szCs w:val="18"/>
          <w:lang w:val="en-GB"/>
        </w:rPr>
        <w:t>Index</w:t>
      </w:r>
      <w:r w:rsidR="007B3E69">
        <w:rPr>
          <w:rFonts w:ascii="Times New Roman" w:hAnsi="Times New Roman"/>
          <w:sz w:val="18"/>
          <w:szCs w:val="18"/>
          <w:lang w:val="en-GB"/>
        </w:rPr>
        <w:t xml:space="preserve"> of EU</w:t>
      </w:r>
    </w:p>
    <w:p w:rsidR="005663AD" w:rsidRPr="007272AB" w:rsidRDefault="007272AB" w:rsidP="00ED1EAA">
      <w:pPr>
        <w:ind w:firstLine="284"/>
        <w:jc w:val="both"/>
        <w:rPr>
          <w:rFonts w:ascii="Times New Roman" w:hAnsi="Times New Roman" w:cs="Times New Roman"/>
          <w:sz w:val="20"/>
          <w:lang w:val="en-US"/>
        </w:rPr>
      </w:pPr>
      <w:r>
        <w:rPr>
          <w:rFonts w:ascii="Times New Roman" w:hAnsi="Times New Roman" w:cs="Times New Roman"/>
          <w:sz w:val="20"/>
          <w:lang w:val="en-US"/>
        </w:rPr>
        <w:t xml:space="preserve">In general, </w:t>
      </w:r>
      <w:r w:rsidRPr="007272AB">
        <w:rPr>
          <w:rFonts w:ascii="Times New Roman" w:hAnsi="Times New Roman" w:cs="Times New Roman"/>
          <w:sz w:val="20"/>
          <w:lang w:val="en-US"/>
        </w:rPr>
        <w:t xml:space="preserve">the energy sector </w:t>
      </w:r>
      <w:r w:rsidR="00A47AF7" w:rsidRPr="007272AB">
        <w:rPr>
          <w:rFonts w:ascii="Times New Roman" w:hAnsi="Times New Roman" w:cs="Times New Roman"/>
          <w:sz w:val="20"/>
          <w:lang w:val="en-US"/>
        </w:rPr>
        <w:t xml:space="preserve">efficiency </w:t>
      </w:r>
      <w:r w:rsidRPr="007272AB">
        <w:rPr>
          <w:rFonts w:ascii="Times New Roman" w:hAnsi="Times New Roman" w:cs="Times New Roman"/>
          <w:sz w:val="20"/>
          <w:lang w:val="en-US"/>
        </w:rPr>
        <w:t>in European countries increased by 11%</w:t>
      </w:r>
      <w:r w:rsidR="00A47AF7">
        <w:rPr>
          <w:rFonts w:ascii="Times New Roman" w:hAnsi="Times New Roman" w:cs="Times New Roman"/>
          <w:sz w:val="20"/>
          <w:lang w:val="en-US"/>
        </w:rPr>
        <w:t>.</w:t>
      </w:r>
      <w:r w:rsidR="00713D99">
        <w:rPr>
          <w:rFonts w:ascii="Times New Roman" w:hAnsi="Times New Roman" w:cs="Times New Roman"/>
          <w:sz w:val="20"/>
          <w:lang w:val="en-US"/>
        </w:rPr>
        <w:t xml:space="preserve"> </w:t>
      </w:r>
    </w:p>
    <w:p w:rsidR="001D3813" w:rsidRPr="004240A1" w:rsidRDefault="006F2AED" w:rsidP="002F741D">
      <w:pPr>
        <w:spacing w:after="170"/>
        <w:ind w:firstLine="284"/>
        <w:jc w:val="both"/>
        <w:rPr>
          <w:rFonts w:ascii="Times New Roman" w:hAnsi="Times New Roman" w:cs="Times New Roman"/>
          <w:sz w:val="20"/>
          <w:lang w:val="en-US"/>
        </w:rPr>
      </w:pPr>
      <w:r>
        <w:rPr>
          <w:rFonts w:ascii="Times New Roman" w:hAnsi="Times New Roman" w:cs="Times New Roman"/>
          <w:sz w:val="20"/>
          <w:lang w:val="en-US"/>
        </w:rPr>
        <w:t>T</w:t>
      </w:r>
      <w:r w:rsidRPr="006F2AED">
        <w:rPr>
          <w:rFonts w:ascii="Times New Roman" w:hAnsi="Times New Roman" w:cs="Times New Roman"/>
          <w:sz w:val="20"/>
          <w:lang w:val="en-US"/>
        </w:rPr>
        <w:t xml:space="preserve">he curves </w:t>
      </w:r>
      <w:r>
        <w:rPr>
          <w:rFonts w:ascii="Times New Roman" w:hAnsi="Times New Roman" w:cs="Times New Roman"/>
          <w:sz w:val="20"/>
          <w:lang w:val="en-US"/>
        </w:rPr>
        <w:t>for subsystems of efficie</w:t>
      </w:r>
      <w:r w:rsidRPr="006F2AED">
        <w:rPr>
          <w:rFonts w:ascii="Times New Roman" w:hAnsi="Times New Roman" w:cs="Times New Roman"/>
          <w:sz w:val="20"/>
          <w:lang w:val="en-US"/>
        </w:rPr>
        <w:t xml:space="preserve">nt energy </w:t>
      </w:r>
      <w:r>
        <w:rPr>
          <w:rFonts w:ascii="Times New Roman" w:hAnsi="Times New Roman" w:cs="Times New Roman"/>
          <w:sz w:val="20"/>
          <w:lang w:val="en-US"/>
        </w:rPr>
        <w:t xml:space="preserve">sector </w:t>
      </w:r>
      <w:r w:rsidR="002F0E98">
        <w:rPr>
          <w:rFonts w:ascii="Times New Roman" w:hAnsi="Times New Roman" w:cs="Times New Roman"/>
          <w:sz w:val="20"/>
          <w:lang w:val="en-US"/>
        </w:rPr>
        <w:t>performance</w:t>
      </w:r>
      <w:r w:rsidRPr="006F2AED">
        <w:rPr>
          <w:rFonts w:ascii="Times New Roman" w:hAnsi="Times New Roman" w:cs="Times New Roman"/>
          <w:sz w:val="20"/>
          <w:lang w:val="en-US"/>
        </w:rPr>
        <w:t xml:space="preserve"> for the North America</w:t>
      </w:r>
      <w:r>
        <w:rPr>
          <w:rFonts w:ascii="Times New Roman" w:hAnsi="Times New Roman" w:cs="Times New Roman"/>
          <w:sz w:val="20"/>
          <w:lang w:val="en-US"/>
        </w:rPr>
        <w:t xml:space="preserve"> countries are shown in Figure 2.</w:t>
      </w:r>
      <w:r w:rsidR="001D3813" w:rsidRPr="006F2AED">
        <w:rPr>
          <w:rFonts w:ascii="Times New Roman" w:hAnsi="Times New Roman" w:cs="Times New Roman"/>
          <w:sz w:val="20"/>
          <w:lang w:val="en-US"/>
        </w:rPr>
        <w:t xml:space="preserve"> </w:t>
      </w:r>
      <w:r w:rsidR="004240A1" w:rsidRPr="004240A1">
        <w:rPr>
          <w:rFonts w:ascii="Times New Roman" w:hAnsi="Times New Roman" w:cs="Times New Roman"/>
          <w:sz w:val="20"/>
          <w:lang w:val="en-US"/>
        </w:rPr>
        <w:t xml:space="preserve">As </w:t>
      </w:r>
      <w:r w:rsidR="004240A1">
        <w:rPr>
          <w:rFonts w:ascii="Times New Roman" w:hAnsi="Times New Roman" w:cs="Times New Roman"/>
          <w:sz w:val="20"/>
          <w:lang w:val="en-US"/>
        </w:rPr>
        <w:t>is obvious from the figure, the E</w:t>
      </w:r>
      <w:r w:rsidR="004240A1" w:rsidRPr="004240A1">
        <w:rPr>
          <w:rFonts w:ascii="Times New Roman" w:hAnsi="Times New Roman" w:cs="Times New Roman"/>
          <w:sz w:val="20"/>
          <w:lang w:val="en-US"/>
        </w:rPr>
        <w:t>nvironmental sustainability subsystem has increased by 20% compared to 2013, Energy access and security by 10%, and Economic growth and development by 4%</w:t>
      </w:r>
      <w:r w:rsidR="004240A1">
        <w:rPr>
          <w:rFonts w:ascii="Times New Roman" w:hAnsi="Times New Roman" w:cs="Times New Roman"/>
          <w:sz w:val="20"/>
          <w:lang w:val="en-US"/>
        </w:rPr>
        <w:t xml:space="preserve">. </w:t>
      </w:r>
      <w:r w:rsidR="008C3617">
        <w:rPr>
          <w:rFonts w:ascii="Times New Roman" w:hAnsi="Times New Roman" w:cs="Times New Roman"/>
          <w:sz w:val="20"/>
          <w:lang w:val="en-US"/>
        </w:rPr>
        <w:t xml:space="preserve">The subsystem values themselves as of </w:t>
      </w:r>
      <w:r w:rsidR="008C3617" w:rsidRPr="00CE1E64">
        <w:rPr>
          <w:rFonts w:ascii="Times New Roman" w:hAnsi="Times New Roman" w:cs="Times New Roman"/>
          <w:sz w:val="20"/>
          <w:lang w:val="en-US"/>
        </w:rPr>
        <w:t xml:space="preserve">2017 </w:t>
      </w:r>
      <w:r w:rsidR="008C3617">
        <w:rPr>
          <w:rFonts w:ascii="Times New Roman" w:hAnsi="Times New Roman" w:cs="Times New Roman"/>
          <w:sz w:val="20"/>
          <w:lang w:val="en-US"/>
        </w:rPr>
        <w:t>are as follows: for</w:t>
      </w:r>
      <w:r w:rsidR="00806E4A" w:rsidRPr="004240A1">
        <w:rPr>
          <w:rFonts w:ascii="Times New Roman" w:hAnsi="Times New Roman" w:cs="Times New Roman"/>
          <w:sz w:val="20"/>
          <w:lang w:val="en-US"/>
        </w:rPr>
        <w:t xml:space="preserve"> </w:t>
      </w:r>
      <w:r w:rsidR="00806E4A" w:rsidRPr="00806E4A">
        <w:rPr>
          <w:rFonts w:ascii="Times New Roman" w:hAnsi="Times New Roman" w:cs="Times New Roman"/>
          <w:sz w:val="20"/>
          <w:lang w:val="en-US"/>
        </w:rPr>
        <w:t>Environmental</w:t>
      </w:r>
      <w:r w:rsidR="00806E4A" w:rsidRPr="004240A1">
        <w:rPr>
          <w:rFonts w:ascii="Times New Roman" w:hAnsi="Times New Roman" w:cs="Times New Roman"/>
          <w:sz w:val="20"/>
          <w:lang w:val="en-US"/>
        </w:rPr>
        <w:t xml:space="preserve"> </w:t>
      </w:r>
      <w:r w:rsidR="00806E4A" w:rsidRPr="00806E4A">
        <w:rPr>
          <w:rFonts w:ascii="Times New Roman" w:hAnsi="Times New Roman" w:cs="Times New Roman"/>
          <w:sz w:val="20"/>
          <w:lang w:val="en-US"/>
        </w:rPr>
        <w:t>sustainability</w:t>
      </w:r>
      <w:r w:rsidR="00806E4A" w:rsidRPr="004240A1">
        <w:rPr>
          <w:rFonts w:ascii="Times New Roman" w:hAnsi="Times New Roman" w:cs="Times New Roman"/>
          <w:sz w:val="20"/>
          <w:lang w:val="en-US"/>
        </w:rPr>
        <w:t xml:space="preserve"> </w:t>
      </w:r>
      <w:r w:rsidR="008C3617">
        <w:rPr>
          <w:rFonts w:ascii="Times New Roman" w:hAnsi="Times New Roman" w:cs="Times New Roman"/>
          <w:sz w:val="20"/>
          <w:lang w:val="en-US"/>
        </w:rPr>
        <w:t>subsystem -</w:t>
      </w:r>
      <w:r w:rsidR="00806E4A" w:rsidRPr="004240A1">
        <w:rPr>
          <w:rFonts w:ascii="Times New Roman" w:hAnsi="Times New Roman" w:cs="Times New Roman"/>
          <w:sz w:val="20"/>
          <w:lang w:val="en-US"/>
        </w:rPr>
        <w:t xml:space="preserve"> 0.63, </w:t>
      </w:r>
      <w:r w:rsidR="00806E4A" w:rsidRPr="00806E4A">
        <w:rPr>
          <w:rFonts w:ascii="Times New Roman" w:hAnsi="Times New Roman" w:cs="Times New Roman"/>
          <w:sz w:val="20"/>
          <w:lang w:val="en-US"/>
        </w:rPr>
        <w:t>Energy</w:t>
      </w:r>
      <w:r w:rsidR="00806E4A" w:rsidRPr="004240A1">
        <w:rPr>
          <w:rFonts w:ascii="Times New Roman" w:hAnsi="Times New Roman" w:cs="Times New Roman"/>
          <w:sz w:val="20"/>
          <w:lang w:val="en-US"/>
        </w:rPr>
        <w:t xml:space="preserve"> </w:t>
      </w:r>
      <w:r w:rsidR="00806E4A" w:rsidRPr="00806E4A">
        <w:rPr>
          <w:rFonts w:ascii="Times New Roman" w:hAnsi="Times New Roman" w:cs="Times New Roman"/>
          <w:sz w:val="20"/>
          <w:lang w:val="en-US"/>
        </w:rPr>
        <w:t>access</w:t>
      </w:r>
      <w:r w:rsidR="00806E4A" w:rsidRPr="004240A1">
        <w:rPr>
          <w:rFonts w:ascii="Times New Roman" w:hAnsi="Times New Roman" w:cs="Times New Roman"/>
          <w:sz w:val="20"/>
          <w:lang w:val="en-US"/>
        </w:rPr>
        <w:t xml:space="preserve"> </w:t>
      </w:r>
      <w:r w:rsidR="00806E4A" w:rsidRPr="00806E4A">
        <w:rPr>
          <w:rFonts w:ascii="Times New Roman" w:hAnsi="Times New Roman" w:cs="Times New Roman"/>
          <w:sz w:val="20"/>
          <w:lang w:val="en-US"/>
        </w:rPr>
        <w:t>and</w:t>
      </w:r>
      <w:r w:rsidR="00806E4A" w:rsidRPr="004240A1">
        <w:rPr>
          <w:rFonts w:ascii="Times New Roman" w:hAnsi="Times New Roman" w:cs="Times New Roman"/>
          <w:sz w:val="20"/>
          <w:lang w:val="en-US"/>
        </w:rPr>
        <w:t xml:space="preserve"> </w:t>
      </w:r>
      <w:r w:rsidR="00806E4A" w:rsidRPr="00806E4A">
        <w:rPr>
          <w:rFonts w:ascii="Times New Roman" w:hAnsi="Times New Roman" w:cs="Times New Roman"/>
          <w:sz w:val="20"/>
          <w:lang w:val="en-US"/>
        </w:rPr>
        <w:t>security</w:t>
      </w:r>
      <w:r w:rsidR="00806E4A" w:rsidRPr="004240A1">
        <w:rPr>
          <w:rFonts w:ascii="Times New Roman" w:hAnsi="Times New Roman" w:cs="Times New Roman"/>
          <w:sz w:val="20"/>
          <w:lang w:val="en-US"/>
        </w:rPr>
        <w:t xml:space="preserve"> </w:t>
      </w:r>
      <w:r w:rsidR="008C3617">
        <w:rPr>
          <w:rFonts w:ascii="Times New Roman" w:hAnsi="Times New Roman" w:cs="Times New Roman"/>
          <w:sz w:val="20"/>
          <w:lang w:val="en-US"/>
        </w:rPr>
        <w:t xml:space="preserve">subsystem - </w:t>
      </w:r>
      <w:r w:rsidR="00806E4A" w:rsidRPr="004240A1">
        <w:rPr>
          <w:rFonts w:ascii="Times New Roman" w:hAnsi="Times New Roman" w:cs="Times New Roman"/>
          <w:sz w:val="20"/>
          <w:lang w:val="en-US"/>
        </w:rPr>
        <w:t xml:space="preserve">0.66,  </w:t>
      </w:r>
      <w:r w:rsidR="00806E4A" w:rsidRPr="00806E4A">
        <w:rPr>
          <w:rFonts w:ascii="Times New Roman" w:hAnsi="Times New Roman" w:cs="Times New Roman"/>
          <w:sz w:val="20"/>
          <w:lang w:val="en-US"/>
        </w:rPr>
        <w:t>Economic</w:t>
      </w:r>
      <w:r w:rsidR="00806E4A" w:rsidRPr="004240A1">
        <w:rPr>
          <w:rFonts w:ascii="Times New Roman" w:hAnsi="Times New Roman" w:cs="Times New Roman"/>
          <w:sz w:val="20"/>
          <w:lang w:val="en-US"/>
        </w:rPr>
        <w:t xml:space="preserve"> </w:t>
      </w:r>
      <w:r w:rsidR="00806E4A" w:rsidRPr="00806E4A">
        <w:rPr>
          <w:rFonts w:ascii="Times New Roman" w:hAnsi="Times New Roman" w:cs="Times New Roman"/>
          <w:sz w:val="20"/>
          <w:lang w:val="en-US"/>
        </w:rPr>
        <w:t>growth</w:t>
      </w:r>
      <w:r w:rsidR="00806E4A" w:rsidRPr="004240A1">
        <w:rPr>
          <w:rFonts w:ascii="Times New Roman" w:hAnsi="Times New Roman" w:cs="Times New Roman"/>
          <w:sz w:val="20"/>
          <w:lang w:val="en-US"/>
        </w:rPr>
        <w:t xml:space="preserve"> </w:t>
      </w:r>
      <w:r w:rsidR="00806E4A" w:rsidRPr="00806E4A">
        <w:rPr>
          <w:rFonts w:ascii="Times New Roman" w:hAnsi="Times New Roman" w:cs="Times New Roman"/>
          <w:sz w:val="20"/>
          <w:lang w:val="en-US"/>
        </w:rPr>
        <w:t>and</w:t>
      </w:r>
      <w:r w:rsidR="00806E4A" w:rsidRPr="004240A1">
        <w:rPr>
          <w:rFonts w:ascii="Times New Roman" w:hAnsi="Times New Roman" w:cs="Times New Roman"/>
          <w:sz w:val="20"/>
          <w:lang w:val="en-US"/>
        </w:rPr>
        <w:t xml:space="preserve"> </w:t>
      </w:r>
      <w:r w:rsidR="00806E4A" w:rsidRPr="00806E4A">
        <w:rPr>
          <w:rFonts w:ascii="Times New Roman" w:hAnsi="Times New Roman" w:cs="Times New Roman"/>
          <w:sz w:val="20"/>
          <w:lang w:val="en-US"/>
        </w:rPr>
        <w:t>development</w:t>
      </w:r>
      <w:r w:rsidR="00806E4A" w:rsidRPr="004240A1">
        <w:rPr>
          <w:rFonts w:ascii="Times New Roman" w:hAnsi="Times New Roman" w:cs="Times New Roman"/>
          <w:sz w:val="20"/>
          <w:lang w:val="en-US"/>
        </w:rPr>
        <w:t xml:space="preserve"> </w:t>
      </w:r>
      <w:r w:rsidR="008C3617">
        <w:rPr>
          <w:rFonts w:ascii="Times New Roman" w:hAnsi="Times New Roman" w:cs="Times New Roman"/>
          <w:sz w:val="20"/>
          <w:lang w:val="en-US"/>
        </w:rPr>
        <w:t xml:space="preserve">subsystem - </w:t>
      </w:r>
      <w:r w:rsidR="00806E4A" w:rsidRPr="004240A1">
        <w:rPr>
          <w:rFonts w:ascii="Times New Roman" w:hAnsi="Times New Roman" w:cs="Times New Roman"/>
          <w:sz w:val="20"/>
          <w:lang w:val="en-US"/>
        </w:rPr>
        <w:t>0.53.</w:t>
      </w:r>
    </w:p>
    <w:p w:rsidR="005663AD" w:rsidRPr="004240A1" w:rsidRDefault="005663AD" w:rsidP="005663AD">
      <w:pPr>
        <w:ind w:firstLine="284"/>
        <w:jc w:val="both"/>
        <w:rPr>
          <w:rFonts w:asciiTheme="minorHAnsi" w:hAnsiTheme="minorHAnsi"/>
          <w:sz w:val="20"/>
          <w:lang w:val="en-US"/>
        </w:rPr>
      </w:pPr>
    </w:p>
    <w:p w:rsidR="005663AD" w:rsidRDefault="00CF39A0" w:rsidP="005663AD">
      <w:pPr>
        <w:jc w:val="both"/>
        <w:rPr>
          <w:rFonts w:asciiTheme="minorHAnsi" w:hAnsiTheme="minorHAnsi"/>
          <w:sz w:val="20"/>
          <w:lang w:val="ru-RU"/>
        </w:rPr>
      </w:pPr>
      <w:r w:rsidRPr="00CF39A0">
        <w:rPr>
          <w:rFonts w:asciiTheme="minorHAnsi" w:hAnsiTheme="minorHAnsi"/>
          <w:noProof/>
          <w:sz w:val="20"/>
          <w:lang w:val="en-US" w:eastAsia="en-US"/>
        </w:rPr>
        <w:lastRenderedPageBreak/>
        <w:drawing>
          <wp:inline distT="0" distB="0" distL="0" distR="0">
            <wp:extent cx="2664000" cy="1910687"/>
            <wp:effectExtent l="0" t="0" r="0" b="0"/>
            <wp:docPr id="1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663AD" w:rsidRPr="007B3E69" w:rsidRDefault="005663AD" w:rsidP="00BB6E2E">
      <w:pPr>
        <w:spacing w:before="170" w:after="170"/>
        <w:jc w:val="both"/>
        <w:rPr>
          <w:rFonts w:ascii="Times New Roman" w:hAnsi="Times New Roman"/>
          <w:sz w:val="18"/>
          <w:szCs w:val="18"/>
          <w:lang w:val="en-US"/>
        </w:rPr>
      </w:pPr>
      <w:r w:rsidRPr="00CA1091">
        <w:rPr>
          <w:rFonts w:ascii="Times New Roman" w:hAnsi="Times New Roman"/>
          <w:b/>
          <w:sz w:val="18"/>
          <w:szCs w:val="18"/>
          <w:lang w:val="en-GB"/>
        </w:rPr>
        <w:t>Fig</w:t>
      </w:r>
      <w:r>
        <w:rPr>
          <w:rFonts w:ascii="Times New Roman" w:hAnsi="Times New Roman"/>
          <w:b/>
          <w:sz w:val="18"/>
          <w:szCs w:val="18"/>
          <w:lang w:val="en-GB"/>
        </w:rPr>
        <w:t>.</w:t>
      </w:r>
      <w:r w:rsidRPr="00CA1091">
        <w:rPr>
          <w:rFonts w:ascii="Times New Roman" w:hAnsi="Times New Roman"/>
          <w:b/>
          <w:sz w:val="18"/>
          <w:szCs w:val="18"/>
          <w:lang w:val="en-GB"/>
        </w:rPr>
        <w:t xml:space="preserve"> </w:t>
      </w:r>
      <w:r w:rsidR="001E46A0">
        <w:rPr>
          <w:rFonts w:ascii="Times New Roman" w:hAnsi="Times New Roman"/>
          <w:b/>
          <w:sz w:val="18"/>
          <w:szCs w:val="18"/>
          <w:lang w:val="en-GB"/>
        </w:rPr>
        <w:t>2</w:t>
      </w:r>
      <w:r w:rsidRPr="00CA1091">
        <w:rPr>
          <w:rFonts w:ascii="Times New Roman" w:hAnsi="Times New Roman"/>
          <w:b/>
          <w:bCs/>
          <w:sz w:val="18"/>
          <w:szCs w:val="18"/>
          <w:lang w:val="en-GB"/>
        </w:rPr>
        <w:t>.</w:t>
      </w:r>
      <w:r w:rsidRPr="00CA1091">
        <w:rPr>
          <w:rFonts w:ascii="Times New Roman" w:hAnsi="Times New Roman"/>
          <w:sz w:val="18"/>
          <w:szCs w:val="18"/>
          <w:lang w:val="en-GB"/>
        </w:rPr>
        <w:t xml:space="preserve"> </w:t>
      </w:r>
      <w:r w:rsidR="007B3E69" w:rsidRPr="007B3E69">
        <w:rPr>
          <w:rFonts w:ascii="Times New Roman" w:hAnsi="Times New Roman"/>
          <w:sz w:val="18"/>
          <w:szCs w:val="18"/>
          <w:lang w:val="en-GB"/>
        </w:rPr>
        <w:t>Energy</w:t>
      </w:r>
      <w:r w:rsidR="007B3E69" w:rsidRPr="007B3E69">
        <w:rPr>
          <w:rFonts w:ascii="Times New Roman" w:hAnsi="Times New Roman"/>
          <w:sz w:val="18"/>
          <w:szCs w:val="18"/>
          <w:lang w:val="en-US"/>
        </w:rPr>
        <w:t xml:space="preserve"> </w:t>
      </w:r>
      <w:r w:rsidR="007B3E69" w:rsidRPr="007B3E69">
        <w:rPr>
          <w:rFonts w:ascii="Times New Roman" w:hAnsi="Times New Roman"/>
          <w:sz w:val="18"/>
          <w:szCs w:val="18"/>
          <w:lang w:val="en-GB"/>
        </w:rPr>
        <w:t>Architecture</w:t>
      </w:r>
      <w:r w:rsidR="007B3E69" w:rsidRPr="007B3E69">
        <w:rPr>
          <w:rFonts w:ascii="Times New Roman" w:hAnsi="Times New Roman"/>
          <w:sz w:val="18"/>
          <w:szCs w:val="18"/>
          <w:lang w:val="en-US"/>
        </w:rPr>
        <w:t xml:space="preserve"> </w:t>
      </w:r>
      <w:r w:rsidR="007B3E69" w:rsidRPr="007B3E69">
        <w:rPr>
          <w:rFonts w:ascii="Times New Roman" w:hAnsi="Times New Roman"/>
          <w:sz w:val="18"/>
          <w:szCs w:val="18"/>
          <w:lang w:val="en-GB"/>
        </w:rPr>
        <w:t>Performance</w:t>
      </w:r>
      <w:r w:rsidR="007B3E69" w:rsidRPr="007B3E69">
        <w:rPr>
          <w:rFonts w:ascii="Times New Roman" w:hAnsi="Times New Roman"/>
          <w:sz w:val="18"/>
          <w:szCs w:val="18"/>
          <w:lang w:val="en-US"/>
        </w:rPr>
        <w:t xml:space="preserve"> </w:t>
      </w:r>
      <w:r w:rsidR="007B3E69" w:rsidRPr="007B3E69">
        <w:rPr>
          <w:rFonts w:ascii="Times New Roman" w:hAnsi="Times New Roman"/>
          <w:sz w:val="18"/>
          <w:szCs w:val="18"/>
          <w:lang w:val="en-GB"/>
        </w:rPr>
        <w:t>Index</w:t>
      </w:r>
      <w:r w:rsidR="007B3E69">
        <w:rPr>
          <w:rFonts w:ascii="Times New Roman" w:hAnsi="Times New Roman"/>
          <w:sz w:val="18"/>
          <w:szCs w:val="18"/>
          <w:lang w:val="en-GB"/>
        </w:rPr>
        <w:t xml:space="preserve"> of North America</w:t>
      </w:r>
    </w:p>
    <w:p w:rsidR="001D3813" w:rsidRPr="008C3617" w:rsidRDefault="008C3617" w:rsidP="00ED1EAA">
      <w:pPr>
        <w:ind w:firstLine="284"/>
        <w:jc w:val="both"/>
        <w:rPr>
          <w:rFonts w:ascii="Times New Roman" w:hAnsi="Times New Roman" w:cs="Times New Roman"/>
          <w:sz w:val="20"/>
          <w:lang w:val="en-US"/>
        </w:rPr>
      </w:pPr>
      <w:r>
        <w:rPr>
          <w:rFonts w:ascii="Times New Roman" w:hAnsi="Times New Roman" w:cs="Times New Roman"/>
          <w:sz w:val="20"/>
          <w:lang w:val="en-US"/>
        </w:rPr>
        <w:t>On the whole</w:t>
      </w:r>
      <w:r w:rsidRPr="008C3617">
        <w:rPr>
          <w:rFonts w:ascii="Times New Roman" w:hAnsi="Times New Roman" w:cs="Times New Roman"/>
          <w:sz w:val="20"/>
          <w:lang w:val="en-US"/>
        </w:rPr>
        <w:t xml:space="preserve">, the energy </w:t>
      </w:r>
      <w:r>
        <w:rPr>
          <w:rFonts w:ascii="Times New Roman" w:hAnsi="Times New Roman" w:cs="Times New Roman"/>
          <w:sz w:val="20"/>
          <w:lang w:val="en-US"/>
        </w:rPr>
        <w:t xml:space="preserve">sector </w:t>
      </w:r>
      <w:r w:rsidRPr="008C3617">
        <w:rPr>
          <w:rFonts w:ascii="Times New Roman" w:hAnsi="Times New Roman" w:cs="Times New Roman"/>
          <w:sz w:val="20"/>
          <w:lang w:val="en-US"/>
        </w:rPr>
        <w:t xml:space="preserve">efficiency </w:t>
      </w:r>
      <w:r w:rsidR="0075696D">
        <w:rPr>
          <w:rFonts w:ascii="Times New Roman" w:hAnsi="Times New Roman" w:cs="Times New Roman"/>
          <w:sz w:val="20"/>
          <w:lang w:val="en-US"/>
        </w:rPr>
        <w:t>for the</w:t>
      </w:r>
      <w:r w:rsidRPr="008C3617">
        <w:rPr>
          <w:rFonts w:ascii="Times New Roman" w:hAnsi="Times New Roman" w:cs="Times New Roman"/>
          <w:sz w:val="20"/>
          <w:lang w:val="en-US"/>
        </w:rPr>
        <w:t xml:space="preserve"> North America </w:t>
      </w:r>
      <w:r>
        <w:rPr>
          <w:rFonts w:ascii="Times New Roman" w:hAnsi="Times New Roman" w:cs="Times New Roman"/>
          <w:sz w:val="20"/>
          <w:lang w:val="en-US"/>
        </w:rPr>
        <w:t xml:space="preserve">countries </w:t>
      </w:r>
      <w:r w:rsidRPr="008C3617">
        <w:rPr>
          <w:rFonts w:ascii="Times New Roman" w:hAnsi="Times New Roman" w:cs="Times New Roman"/>
          <w:sz w:val="20"/>
          <w:lang w:val="en-US"/>
        </w:rPr>
        <w:t xml:space="preserve">increased by 12%. </w:t>
      </w:r>
    </w:p>
    <w:p w:rsidR="00AC4C72" w:rsidRPr="003C3542" w:rsidRDefault="003C3542" w:rsidP="00BB6E2E">
      <w:pPr>
        <w:spacing w:after="170"/>
        <w:ind w:firstLine="284"/>
        <w:jc w:val="both"/>
        <w:rPr>
          <w:sz w:val="20"/>
          <w:lang w:val="en-US"/>
        </w:rPr>
      </w:pPr>
      <w:r>
        <w:rPr>
          <w:rFonts w:ascii="Times New Roman" w:hAnsi="Times New Roman" w:cs="Times New Roman"/>
          <w:bCs/>
          <w:sz w:val="20"/>
          <w:lang w:val="en-US"/>
        </w:rPr>
        <w:t>The</w:t>
      </w:r>
      <w:r w:rsidRPr="003C3542">
        <w:rPr>
          <w:rFonts w:ascii="Times New Roman" w:hAnsi="Times New Roman" w:cs="Times New Roman"/>
          <w:bCs/>
          <w:sz w:val="20"/>
          <w:lang w:val="en-US"/>
        </w:rPr>
        <w:t xml:space="preserve"> energy </w:t>
      </w:r>
      <w:r>
        <w:rPr>
          <w:rFonts w:ascii="Times New Roman" w:hAnsi="Times New Roman" w:cs="Times New Roman"/>
          <w:bCs/>
          <w:sz w:val="20"/>
          <w:lang w:val="en-US"/>
        </w:rPr>
        <w:t xml:space="preserve">sector </w:t>
      </w:r>
      <w:r w:rsidR="002F0E98">
        <w:rPr>
          <w:rFonts w:ascii="Times New Roman" w:hAnsi="Times New Roman" w:cs="Times New Roman"/>
          <w:bCs/>
          <w:sz w:val="20"/>
          <w:lang w:val="en-US"/>
        </w:rPr>
        <w:t>performance</w:t>
      </w:r>
      <w:r>
        <w:rPr>
          <w:rFonts w:ascii="Times New Roman" w:hAnsi="Times New Roman" w:cs="Times New Roman"/>
          <w:bCs/>
          <w:sz w:val="20"/>
          <w:lang w:val="en-US"/>
        </w:rPr>
        <w:t xml:space="preserve"> </w:t>
      </w:r>
      <w:r w:rsidRPr="003C3542">
        <w:rPr>
          <w:rFonts w:ascii="Times New Roman" w:hAnsi="Times New Roman" w:cs="Times New Roman"/>
          <w:bCs/>
          <w:sz w:val="20"/>
          <w:lang w:val="en-US"/>
        </w:rPr>
        <w:t xml:space="preserve">efficiency subsystems </w:t>
      </w:r>
      <w:r>
        <w:rPr>
          <w:rFonts w:ascii="Times New Roman" w:hAnsi="Times New Roman" w:cs="Times New Roman"/>
          <w:bCs/>
          <w:sz w:val="20"/>
          <w:lang w:val="en-US"/>
        </w:rPr>
        <w:t xml:space="preserve">curve </w:t>
      </w:r>
      <w:r w:rsidRPr="003C3542">
        <w:rPr>
          <w:rFonts w:ascii="Times New Roman" w:hAnsi="Times New Roman" w:cs="Times New Roman"/>
          <w:bCs/>
          <w:sz w:val="20"/>
          <w:lang w:val="en-US"/>
        </w:rPr>
        <w:t>for Middle East &amp; North Africa</w:t>
      </w:r>
      <w:r>
        <w:rPr>
          <w:rFonts w:ascii="Times New Roman" w:hAnsi="Times New Roman" w:cs="Times New Roman"/>
          <w:bCs/>
          <w:sz w:val="20"/>
          <w:lang w:val="en-US"/>
        </w:rPr>
        <w:t xml:space="preserve"> is presented in Figure 3.</w:t>
      </w:r>
    </w:p>
    <w:p w:rsidR="001D3813" w:rsidRDefault="00565F9E" w:rsidP="005663AD">
      <w:pPr>
        <w:jc w:val="both"/>
        <w:rPr>
          <w:rFonts w:asciiTheme="minorHAnsi" w:hAnsiTheme="minorHAnsi"/>
          <w:sz w:val="20"/>
          <w:lang w:val="ru-RU"/>
        </w:rPr>
      </w:pPr>
      <w:r w:rsidRPr="00565F9E">
        <w:rPr>
          <w:rFonts w:asciiTheme="minorHAnsi" w:hAnsiTheme="minorHAnsi"/>
          <w:noProof/>
          <w:sz w:val="20"/>
          <w:lang w:val="en-US" w:eastAsia="en-US"/>
        </w:rPr>
        <w:drawing>
          <wp:inline distT="0" distB="0" distL="0" distR="0">
            <wp:extent cx="2664000" cy="1910687"/>
            <wp:effectExtent l="0" t="0" r="0" b="0"/>
            <wp:docPr id="1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0445F" w:rsidRPr="007B3E69" w:rsidRDefault="0060445F" w:rsidP="00BB6E2E">
      <w:pPr>
        <w:spacing w:before="170" w:after="170"/>
        <w:jc w:val="both"/>
        <w:rPr>
          <w:rFonts w:ascii="Times New Roman" w:hAnsi="Times New Roman"/>
          <w:sz w:val="18"/>
          <w:szCs w:val="18"/>
          <w:lang w:val="en-US"/>
        </w:rPr>
      </w:pPr>
      <w:r w:rsidRPr="00CA1091">
        <w:rPr>
          <w:rFonts w:ascii="Times New Roman" w:hAnsi="Times New Roman"/>
          <w:b/>
          <w:sz w:val="18"/>
          <w:szCs w:val="18"/>
          <w:lang w:val="en-GB"/>
        </w:rPr>
        <w:t>Fig</w:t>
      </w:r>
      <w:r>
        <w:rPr>
          <w:rFonts w:ascii="Times New Roman" w:hAnsi="Times New Roman"/>
          <w:b/>
          <w:sz w:val="18"/>
          <w:szCs w:val="18"/>
          <w:lang w:val="en-GB"/>
        </w:rPr>
        <w:t>.</w:t>
      </w:r>
      <w:r w:rsidRPr="00CA1091">
        <w:rPr>
          <w:rFonts w:ascii="Times New Roman" w:hAnsi="Times New Roman"/>
          <w:b/>
          <w:sz w:val="18"/>
          <w:szCs w:val="18"/>
          <w:lang w:val="en-GB"/>
        </w:rPr>
        <w:t xml:space="preserve"> </w:t>
      </w:r>
      <w:r>
        <w:rPr>
          <w:rFonts w:ascii="Times New Roman" w:hAnsi="Times New Roman"/>
          <w:b/>
          <w:sz w:val="18"/>
          <w:szCs w:val="18"/>
          <w:lang w:val="en-GB"/>
        </w:rPr>
        <w:t>3</w:t>
      </w:r>
      <w:r w:rsidRPr="00CA1091">
        <w:rPr>
          <w:rFonts w:ascii="Times New Roman" w:hAnsi="Times New Roman"/>
          <w:b/>
          <w:bCs/>
          <w:sz w:val="18"/>
          <w:szCs w:val="18"/>
          <w:lang w:val="en-GB"/>
        </w:rPr>
        <w:t>.</w:t>
      </w:r>
      <w:r w:rsidRPr="00CA1091">
        <w:rPr>
          <w:rFonts w:ascii="Times New Roman" w:hAnsi="Times New Roman"/>
          <w:sz w:val="18"/>
          <w:szCs w:val="18"/>
          <w:lang w:val="en-GB"/>
        </w:rPr>
        <w:t xml:space="preserve"> </w:t>
      </w:r>
      <w:r w:rsidRPr="007B3E69">
        <w:rPr>
          <w:rFonts w:ascii="Times New Roman" w:hAnsi="Times New Roman"/>
          <w:sz w:val="18"/>
          <w:szCs w:val="18"/>
          <w:lang w:val="en-GB"/>
        </w:rPr>
        <w:t>Energy</w:t>
      </w:r>
      <w:r w:rsidRPr="007B3E69">
        <w:rPr>
          <w:rFonts w:ascii="Times New Roman" w:hAnsi="Times New Roman"/>
          <w:sz w:val="18"/>
          <w:szCs w:val="18"/>
          <w:lang w:val="en-US"/>
        </w:rPr>
        <w:t xml:space="preserve"> </w:t>
      </w:r>
      <w:r w:rsidRPr="007B3E69">
        <w:rPr>
          <w:rFonts w:ascii="Times New Roman" w:hAnsi="Times New Roman"/>
          <w:sz w:val="18"/>
          <w:szCs w:val="18"/>
          <w:lang w:val="en-GB"/>
        </w:rPr>
        <w:t>Architecture</w:t>
      </w:r>
      <w:r w:rsidRPr="007B3E69">
        <w:rPr>
          <w:rFonts w:ascii="Times New Roman" w:hAnsi="Times New Roman"/>
          <w:sz w:val="18"/>
          <w:szCs w:val="18"/>
          <w:lang w:val="en-US"/>
        </w:rPr>
        <w:t xml:space="preserve"> </w:t>
      </w:r>
      <w:r w:rsidRPr="007B3E69">
        <w:rPr>
          <w:rFonts w:ascii="Times New Roman" w:hAnsi="Times New Roman"/>
          <w:sz w:val="18"/>
          <w:szCs w:val="18"/>
          <w:lang w:val="en-GB"/>
        </w:rPr>
        <w:t>Performance</w:t>
      </w:r>
      <w:r w:rsidRPr="007B3E69">
        <w:rPr>
          <w:rFonts w:ascii="Times New Roman" w:hAnsi="Times New Roman"/>
          <w:sz w:val="18"/>
          <w:szCs w:val="18"/>
          <w:lang w:val="en-US"/>
        </w:rPr>
        <w:t xml:space="preserve"> </w:t>
      </w:r>
      <w:r w:rsidRPr="007B3E69">
        <w:rPr>
          <w:rFonts w:ascii="Times New Roman" w:hAnsi="Times New Roman"/>
          <w:sz w:val="18"/>
          <w:szCs w:val="18"/>
          <w:lang w:val="en-GB"/>
        </w:rPr>
        <w:t>Index</w:t>
      </w:r>
      <w:r>
        <w:rPr>
          <w:rFonts w:ascii="Times New Roman" w:hAnsi="Times New Roman"/>
          <w:sz w:val="18"/>
          <w:szCs w:val="18"/>
          <w:lang w:val="en-GB"/>
        </w:rPr>
        <w:t xml:space="preserve"> of Middle East &amp; North Africa</w:t>
      </w:r>
    </w:p>
    <w:p w:rsidR="00AC4C72" w:rsidRPr="00513E0E" w:rsidRDefault="003C3542" w:rsidP="00AC4C72">
      <w:pPr>
        <w:ind w:firstLine="284"/>
        <w:jc w:val="both"/>
        <w:rPr>
          <w:rFonts w:ascii="Times New Roman" w:hAnsi="Times New Roman" w:cs="Times New Roman"/>
          <w:sz w:val="20"/>
          <w:lang w:val="en-US"/>
        </w:rPr>
      </w:pPr>
      <w:r>
        <w:rPr>
          <w:rFonts w:ascii="Times New Roman" w:hAnsi="Times New Roman" w:cs="Times New Roman"/>
          <w:sz w:val="20"/>
          <w:lang w:val="en-GB"/>
        </w:rPr>
        <w:t>Unlike the</w:t>
      </w:r>
      <w:r w:rsidRPr="003C3542">
        <w:rPr>
          <w:rFonts w:ascii="Times New Roman" w:hAnsi="Times New Roman" w:cs="Times New Roman"/>
          <w:sz w:val="20"/>
          <w:lang w:val="en-GB"/>
        </w:rPr>
        <w:t xml:space="preserve"> EU and North America countries, , the lar</w:t>
      </w:r>
      <w:r>
        <w:rPr>
          <w:rFonts w:ascii="Times New Roman" w:hAnsi="Times New Roman" w:cs="Times New Roman"/>
          <w:sz w:val="20"/>
          <w:lang w:val="en-GB"/>
        </w:rPr>
        <w:t xml:space="preserve">gest growth </w:t>
      </w:r>
      <w:r w:rsidRPr="003C3542">
        <w:rPr>
          <w:rFonts w:ascii="Times New Roman" w:hAnsi="Times New Roman" w:cs="Times New Roman"/>
          <w:sz w:val="20"/>
          <w:lang w:val="en-GB"/>
        </w:rPr>
        <w:t>in the Middle East &amp; North Africa countries</w:t>
      </w:r>
      <w:r>
        <w:rPr>
          <w:rFonts w:ascii="Times New Roman" w:hAnsi="Times New Roman" w:cs="Times New Roman"/>
          <w:sz w:val="20"/>
          <w:lang w:val="en-GB"/>
        </w:rPr>
        <w:t xml:space="preserve"> is observed in the E</w:t>
      </w:r>
      <w:r w:rsidRPr="003C3542">
        <w:rPr>
          <w:rFonts w:ascii="Times New Roman" w:hAnsi="Times New Roman" w:cs="Times New Roman"/>
          <w:sz w:val="20"/>
          <w:lang w:val="en-GB"/>
        </w:rPr>
        <w:t>conomic growth and development subsystem, which is 18%</w:t>
      </w:r>
      <w:r w:rsidR="00AC4C72" w:rsidRPr="0072565A">
        <w:rPr>
          <w:rFonts w:ascii="Times New Roman" w:hAnsi="Times New Roman" w:cs="Times New Roman"/>
          <w:sz w:val="20"/>
          <w:lang w:val="en-GB"/>
        </w:rPr>
        <w:t xml:space="preserve">. </w:t>
      </w:r>
      <w:r w:rsidR="0075696D">
        <w:rPr>
          <w:rFonts w:ascii="Times New Roman" w:hAnsi="Times New Roman" w:cs="Times New Roman"/>
          <w:sz w:val="20"/>
          <w:lang w:val="en-GB"/>
        </w:rPr>
        <w:t>Low growth is observed in</w:t>
      </w:r>
      <w:r w:rsidR="00AC4C72" w:rsidRPr="0072565A">
        <w:rPr>
          <w:rFonts w:ascii="Times New Roman" w:hAnsi="Times New Roman" w:cs="Times New Roman"/>
          <w:sz w:val="20"/>
          <w:lang w:val="en-GB"/>
        </w:rPr>
        <w:t xml:space="preserve"> </w:t>
      </w:r>
      <w:r w:rsidR="00AC4C72" w:rsidRPr="00AC4C72">
        <w:rPr>
          <w:rFonts w:ascii="Times New Roman" w:hAnsi="Times New Roman" w:cs="Times New Roman"/>
          <w:sz w:val="20"/>
          <w:lang w:val="en-US"/>
        </w:rPr>
        <w:t>Environmental</w:t>
      </w:r>
      <w:r w:rsidR="00AC4C72" w:rsidRPr="0072565A">
        <w:rPr>
          <w:rFonts w:ascii="Times New Roman" w:hAnsi="Times New Roman" w:cs="Times New Roman"/>
          <w:sz w:val="20"/>
          <w:lang w:val="en-GB"/>
        </w:rPr>
        <w:t xml:space="preserve"> </w:t>
      </w:r>
      <w:r w:rsidR="00AC4C72" w:rsidRPr="00AC4C72">
        <w:rPr>
          <w:rFonts w:ascii="Times New Roman" w:hAnsi="Times New Roman" w:cs="Times New Roman"/>
          <w:sz w:val="20"/>
          <w:lang w:val="en-US"/>
        </w:rPr>
        <w:t>sustainability</w:t>
      </w:r>
      <w:r w:rsidR="00AC4C72" w:rsidRPr="0072565A">
        <w:rPr>
          <w:rFonts w:ascii="Times New Roman" w:hAnsi="Times New Roman" w:cs="Times New Roman"/>
          <w:sz w:val="20"/>
          <w:lang w:val="en-GB"/>
        </w:rPr>
        <w:t xml:space="preserve"> </w:t>
      </w:r>
      <w:r w:rsidR="0075696D">
        <w:rPr>
          <w:rFonts w:ascii="Times New Roman" w:hAnsi="Times New Roman" w:cs="Times New Roman"/>
          <w:sz w:val="20"/>
          <w:lang w:val="en-US"/>
        </w:rPr>
        <w:t>and</w:t>
      </w:r>
      <w:r w:rsidR="00AC4C72" w:rsidRPr="0072565A">
        <w:rPr>
          <w:rFonts w:ascii="Times New Roman" w:hAnsi="Times New Roman" w:cs="Times New Roman"/>
          <w:sz w:val="20"/>
          <w:lang w:val="en-GB"/>
        </w:rPr>
        <w:t xml:space="preserve"> </w:t>
      </w:r>
      <w:r w:rsidR="00AC4C72" w:rsidRPr="00AC4C72">
        <w:rPr>
          <w:rFonts w:ascii="Times New Roman" w:hAnsi="Times New Roman" w:cs="Times New Roman"/>
          <w:sz w:val="20"/>
          <w:lang w:val="en-US"/>
        </w:rPr>
        <w:t>Energy</w:t>
      </w:r>
      <w:r w:rsidR="00AC4C72" w:rsidRPr="0072565A">
        <w:rPr>
          <w:rFonts w:ascii="Times New Roman" w:hAnsi="Times New Roman" w:cs="Times New Roman"/>
          <w:sz w:val="20"/>
          <w:lang w:val="en-GB"/>
        </w:rPr>
        <w:t xml:space="preserve"> </w:t>
      </w:r>
      <w:r w:rsidR="00AC4C72" w:rsidRPr="00AC4C72">
        <w:rPr>
          <w:rFonts w:ascii="Times New Roman" w:hAnsi="Times New Roman" w:cs="Times New Roman"/>
          <w:sz w:val="20"/>
          <w:lang w:val="en-US"/>
        </w:rPr>
        <w:t>access</w:t>
      </w:r>
      <w:r w:rsidR="00AC4C72" w:rsidRPr="0072565A">
        <w:rPr>
          <w:rFonts w:ascii="Times New Roman" w:hAnsi="Times New Roman" w:cs="Times New Roman"/>
          <w:sz w:val="20"/>
          <w:lang w:val="en-GB"/>
        </w:rPr>
        <w:t xml:space="preserve"> </w:t>
      </w:r>
      <w:r w:rsidR="00AC4C72" w:rsidRPr="00AC4C72">
        <w:rPr>
          <w:rFonts w:ascii="Times New Roman" w:hAnsi="Times New Roman" w:cs="Times New Roman"/>
          <w:sz w:val="20"/>
          <w:lang w:val="en-US"/>
        </w:rPr>
        <w:t>and</w:t>
      </w:r>
      <w:r w:rsidR="00AC4C72" w:rsidRPr="0072565A">
        <w:rPr>
          <w:rFonts w:ascii="Times New Roman" w:hAnsi="Times New Roman" w:cs="Times New Roman"/>
          <w:sz w:val="20"/>
          <w:lang w:val="en-GB"/>
        </w:rPr>
        <w:t xml:space="preserve"> </w:t>
      </w:r>
      <w:r w:rsidR="00AC4C72" w:rsidRPr="00AC4C72">
        <w:rPr>
          <w:rFonts w:ascii="Times New Roman" w:hAnsi="Times New Roman" w:cs="Times New Roman"/>
          <w:sz w:val="20"/>
          <w:lang w:val="en-US"/>
        </w:rPr>
        <w:t>security</w:t>
      </w:r>
      <w:r w:rsidR="0075696D">
        <w:rPr>
          <w:rFonts w:ascii="Times New Roman" w:hAnsi="Times New Roman" w:cs="Times New Roman"/>
          <w:sz w:val="20"/>
          <w:lang w:val="en-US"/>
        </w:rPr>
        <w:t xml:space="preserve"> subsystems</w:t>
      </w:r>
      <w:r w:rsidR="00AC4C72" w:rsidRPr="0072565A">
        <w:rPr>
          <w:rFonts w:ascii="Times New Roman" w:hAnsi="Times New Roman" w:cs="Times New Roman"/>
          <w:sz w:val="20"/>
          <w:lang w:val="en-GB"/>
        </w:rPr>
        <w:t xml:space="preserve">, 7% </w:t>
      </w:r>
      <w:r w:rsidR="0075696D">
        <w:rPr>
          <w:rFonts w:ascii="Times New Roman" w:hAnsi="Times New Roman" w:cs="Times New Roman"/>
          <w:sz w:val="20"/>
          <w:lang w:val="en-US"/>
        </w:rPr>
        <w:t>and</w:t>
      </w:r>
      <w:r w:rsidR="00AC4C72" w:rsidRPr="0072565A">
        <w:rPr>
          <w:rFonts w:ascii="Times New Roman" w:hAnsi="Times New Roman" w:cs="Times New Roman"/>
          <w:sz w:val="20"/>
          <w:lang w:val="en-GB"/>
        </w:rPr>
        <w:t xml:space="preserve"> 2%</w:t>
      </w:r>
      <w:r w:rsidR="0075696D">
        <w:rPr>
          <w:rFonts w:ascii="Times New Roman" w:hAnsi="Times New Roman" w:cs="Times New Roman"/>
          <w:sz w:val="20"/>
          <w:lang w:val="en-GB"/>
        </w:rPr>
        <w:t xml:space="preserve"> respectively</w:t>
      </w:r>
      <w:r w:rsidR="00AC4C72" w:rsidRPr="0072565A">
        <w:rPr>
          <w:rFonts w:ascii="Times New Roman" w:hAnsi="Times New Roman" w:cs="Times New Roman"/>
          <w:sz w:val="20"/>
          <w:lang w:val="en-GB"/>
        </w:rPr>
        <w:t>.</w:t>
      </w:r>
      <w:r w:rsidR="00806E4A" w:rsidRPr="0072565A">
        <w:rPr>
          <w:rFonts w:ascii="Times New Roman" w:hAnsi="Times New Roman" w:cs="Times New Roman"/>
          <w:sz w:val="20"/>
          <w:lang w:val="en-GB"/>
        </w:rPr>
        <w:t xml:space="preserve"> </w:t>
      </w:r>
      <w:r w:rsidR="0075696D">
        <w:rPr>
          <w:rFonts w:ascii="Times New Roman" w:hAnsi="Times New Roman" w:cs="Times New Roman"/>
          <w:sz w:val="20"/>
          <w:lang w:val="en-GB"/>
        </w:rPr>
        <w:t>These subsystem values as of</w:t>
      </w:r>
      <w:r w:rsidR="00513E0E" w:rsidRPr="00513E0E">
        <w:rPr>
          <w:rFonts w:ascii="Times New Roman" w:hAnsi="Times New Roman" w:cs="Times New Roman"/>
          <w:sz w:val="20"/>
          <w:lang w:val="en-US"/>
        </w:rPr>
        <w:t xml:space="preserve"> 2017 </w:t>
      </w:r>
      <w:r w:rsidR="0075696D">
        <w:rPr>
          <w:rFonts w:ascii="Times New Roman" w:hAnsi="Times New Roman" w:cs="Times New Roman"/>
          <w:sz w:val="20"/>
          <w:lang w:val="en-US"/>
        </w:rPr>
        <w:t>are</w:t>
      </w:r>
      <w:r w:rsidR="00513E0E" w:rsidRPr="00513E0E">
        <w:rPr>
          <w:rFonts w:ascii="Times New Roman" w:hAnsi="Times New Roman" w:cs="Times New Roman"/>
          <w:sz w:val="20"/>
          <w:lang w:val="en-US"/>
        </w:rPr>
        <w:t xml:space="preserve"> </w:t>
      </w:r>
      <w:r w:rsidR="0075696D">
        <w:rPr>
          <w:rFonts w:ascii="Times New Roman" w:hAnsi="Times New Roman" w:cs="Times New Roman"/>
          <w:sz w:val="20"/>
          <w:lang w:val="en-US"/>
        </w:rPr>
        <w:t xml:space="preserve">as follows: </w:t>
      </w:r>
      <w:r w:rsidR="00513E0E" w:rsidRPr="00513E0E">
        <w:rPr>
          <w:rFonts w:ascii="Times New Roman" w:hAnsi="Times New Roman" w:cs="Times New Roman"/>
          <w:sz w:val="20"/>
          <w:lang w:val="en-US"/>
        </w:rPr>
        <w:t>Economic growth and development</w:t>
      </w:r>
      <w:r w:rsidR="0075696D">
        <w:rPr>
          <w:rFonts w:ascii="Times New Roman" w:hAnsi="Times New Roman" w:cs="Times New Roman"/>
          <w:sz w:val="20"/>
          <w:lang w:val="en-US"/>
        </w:rPr>
        <w:t xml:space="preserve"> </w:t>
      </w:r>
      <w:r w:rsidR="00513E0E" w:rsidRPr="00513E0E">
        <w:rPr>
          <w:rFonts w:ascii="Times New Roman" w:hAnsi="Times New Roman" w:cs="Times New Roman"/>
          <w:sz w:val="20"/>
          <w:lang w:val="en-US"/>
        </w:rPr>
        <w:t>-</w:t>
      </w:r>
      <w:r w:rsidR="0075696D">
        <w:rPr>
          <w:rFonts w:ascii="Times New Roman" w:hAnsi="Times New Roman" w:cs="Times New Roman"/>
          <w:sz w:val="20"/>
          <w:lang w:val="en-US"/>
        </w:rPr>
        <w:t xml:space="preserve"> </w:t>
      </w:r>
      <w:r w:rsidR="00513E0E" w:rsidRPr="00513E0E">
        <w:rPr>
          <w:rFonts w:ascii="Times New Roman" w:hAnsi="Times New Roman" w:cs="Times New Roman"/>
          <w:sz w:val="20"/>
          <w:lang w:val="en-US"/>
        </w:rPr>
        <w:t xml:space="preserve">0.39, </w:t>
      </w:r>
      <w:r w:rsidR="00513E0E" w:rsidRPr="00AC4C72">
        <w:rPr>
          <w:rFonts w:ascii="Times New Roman" w:hAnsi="Times New Roman" w:cs="Times New Roman"/>
          <w:sz w:val="20"/>
          <w:lang w:val="en-US"/>
        </w:rPr>
        <w:t>Environmental</w:t>
      </w:r>
      <w:r w:rsidR="00513E0E" w:rsidRPr="00513E0E">
        <w:rPr>
          <w:rFonts w:ascii="Times New Roman" w:hAnsi="Times New Roman" w:cs="Times New Roman"/>
          <w:sz w:val="20"/>
          <w:lang w:val="en-US"/>
        </w:rPr>
        <w:t xml:space="preserve"> </w:t>
      </w:r>
      <w:r w:rsidR="00513E0E" w:rsidRPr="00AC4C72">
        <w:rPr>
          <w:rFonts w:ascii="Times New Roman" w:hAnsi="Times New Roman" w:cs="Times New Roman"/>
          <w:sz w:val="20"/>
          <w:lang w:val="en-US"/>
        </w:rPr>
        <w:t>sustainability</w:t>
      </w:r>
      <w:r w:rsidR="0075696D">
        <w:rPr>
          <w:rFonts w:ascii="Times New Roman" w:hAnsi="Times New Roman" w:cs="Times New Roman"/>
          <w:sz w:val="20"/>
          <w:lang w:val="en-US"/>
        </w:rPr>
        <w:t xml:space="preserve"> </w:t>
      </w:r>
      <w:r w:rsidR="00513E0E" w:rsidRPr="00513E0E">
        <w:rPr>
          <w:rFonts w:ascii="Times New Roman" w:hAnsi="Times New Roman" w:cs="Times New Roman"/>
          <w:sz w:val="20"/>
          <w:lang w:val="en-US"/>
        </w:rPr>
        <w:t>-</w:t>
      </w:r>
      <w:r w:rsidR="0075696D">
        <w:rPr>
          <w:rFonts w:ascii="Times New Roman" w:hAnsi="Times New Roman" w:cs="Times New Roman"/>
          <w:sz w:val="20"/>
          <w:lang w:val="en-US"/>
        </w:rPr>
        <w:t xml:space="preserve"> </w:t>
      </w:r>
      <w:r w:rsidR="00513E0E" w:rsidRPr="00513E0E">
        <w:rPr>
          <w:rFonts w:ascii="Times New Roman" w:hAnsi="Times New Roman" w:cs="Times New Roman"/>
          <w:sz w:val="20"/>
          <w:lang w:val="en-US"/>
        </w:rPr>
        <w:t xml:space="preserve">0.38, </w:t>
      </w:r>
      <w:r w:rsidR="00513E0E" w:rsidRPr="00AC4C72">
        <w:rPr>
          <w:rFonts w:ascii="Times New Roman" w:hAnsi="Times New Roman" w:cs="Times New Roman"/>
          <w:sz w:val="20"/>
          <w:lang w:val="en-US"/>
        </w:rPr>
        <w:t>Energy</w:t>
      </w:r>
      <w:r w:rsidR="00513E0E" w:rsidRPr="00513E0E">
        <w:rPr>
          <w:rFonts w:ascii="Times New Roman" w:hAnsi="Times New Roman" w:cs="Times New Roman"/>
          <w:sz w:val="20"/>
          <w:lang w:val="en-US"/>
        </w:rPr>
        <w:t xml:space="preserve"> </w:t>
      </w:r>
      <w:r w:rsidR="00513E0E" w:rsidRPr="00AC4C72">
        <w:rPr>
          <w:rFonts w:ascii="Times New Roman" w:hAnsi="Times New Roman" w:cs="Times New Roman"/>
          <w:sz w:val="20"/>
          <w:lang w:val="en-US"/>
        </w:rPr>
        <w:t>access</w:t>
      </w:r>
      <w:r w:rsidR="00513E0E" w:rsidRPr="00513E0E">
        <w:rPr>
          <w:rFonts w:ascii="Times New Roman" w:hAnsi="Times New Roman" w:cs="Times New Roman"/>
          <w:sz w:val="20"/>
          <w:lang w:val="en-US"/>
        </w:rPr>
        <w:t xml:space="preserve"> </w:t>
      </w:r>
      <w:r w:rsidR="00513E0E" w:rsidRPr="00AC4C72">
        <w:rPr>
          <w:rFonts w:ascii="Times New Roman" w:hAnsi="Times New Roman" w:cs="Times New Roman"/>
          <w:sz w:val="20"/>
          <w:lang w:val="en-US"/>
        </w:rPr>
        <w:t>and</w:t>
      </w:r>
      <w:r w:rsidR="00513E0E" w:rsidRPr="00513E0E">
        <w:rPr>
          <w:rFonts w:ascii="Times New Roman" w:hAnsi="Times New Roman" w:cs="Times New Roman"/>
          <w:sz w:val="20"/>
          <w:lang w:val="en-US"/>
        </w:rPr>
        <w:t xml:space="preserve"> </w:t>
      </w:r>
      <w:r w:rsidR="00513E0E" w:rsidRPr="00AC4C72">
        <w:rPr>
          <w:rFonts w:ascii="Times New Roman" w:hAnsi="Times New Roman" w:cs="Times New Roman"/>
          <w:sz w:val="20"/>
          <w:lang w:val="en-US"/>
        </w:rPr>
        <w:t>security</w:t>
      </w:r>
      <w:r w:rsidR="00513E0E" w:rsidRPr="00513E0E">
        <w:rPr>
          <w:rFonts w:ascii="Times New Roman" w:hAnsi="Times New Roman" w:cs="Times New Roman"/>
          <w:sz w:val="20"/>
          <w:lang w:val="en-US"/>
        </w:rPr>
        <w:t>-0.71.</w:t>
      </w:r>
    </w:p>
    <w:p w:rsidR="0075696D" w:rsidRPr="008C3617" w:rsidRDefault="0075696D" w:rsidP="0075696D">
      <w:pPr>
        <w:ind w:firstLine="284"/>
        <w:jc w:val="both"/>
        <w:rPr>
          <w:rFonts w:ascii="Times New Roman" w:hAnsi="Times New Roman" w:cs="Times New Roman"/>
          <w:sz w:val="20"/>
          <w:lang w:val="en-US"/>
        </w:rPr>
      </w:pPr>
      <w:r>
        <w:rPr>
          <w:rFonts w:ascii="Times New Roman" w:hAnsi="Times New Roman" w:cs="Times New Roman"/>
          <w:sz w:val="20"/>
          <w:lang w:val="en-US"/>
        </w:rPr>
        <w:t>On the whole</w:t>
      </w:r>
      <w:r w:rsidRPr="008C3617">
        <w:rPr>
          <w:rFonts w:ascii="Times New Roman" w:hAnsi="Times New Roman" w:cs="Times New Roman"/>
          <w:sz w:val="20"/>
          <w:lang w:val="en-US"/>
        </w:rPr>
        <w:t xml:space="preserve">, the energy </w:t>
      </w:r>
      <w:r>
        <w:rPr>
          <w:rFonts w:ascii="Times New Roman" w:hAnsi="Times New Roman" w:cs="Times New Roman"/>
          <w:sz w:val="20"/>
          <w:lang w:val="en-US"/>
        </w:rPr>
        <w:t xml:space="preserve">sector </w:t>
      </w:r>
      <w:r w:rsidRPr="008C3617">
        <w:rPr>
          <w:rFonts w:ascii="Times New Roman" w:hAnsi="Times New Roman" w:cs="Times New Roman"/>
          <w:sz w:val="20"/>
          <w:lang w:val="en-US"/>
        </w:rPr>
        <w:t xml:space="preserve">efficiency </w:t>
      </w:r>
      <w:r>
        <w:rPr>
          <w:rFonts w:ascii="Times New Roman" w:hAnsi="Times New Roman" w:cs="Times New Roman"/>
          <w:sz w:val="20"/>
          <w:lang w:val="en-US"/>
        </w:rPr>
        <w:t xml:space="preserve">for the </w:t>
      </w:r>
      <w:r w:rsidRPr="008C3617">
        <w:rPr>
          <w:rFonts w:ascii="Times New Roman" w:hAnsi="Times New Roman" w:cs="Times New Roman"/>
          <w:sz w:val="20"/>
          <w:lang w:val="en-US"/>
        </w:rPr>
        <w:t xml:space="preserve"> </w:t>
      </w:r>
      <w:r w:rsidRPr="00AC4C72">
        <w:rPr>
          <w:rFonts w:ascii="Times New Roman" w:hAnsi="Times New Roman" w:cs="Times New Roman"/>
          <w:bCs/>
          <w:sz w:val="20"/>
          <w:lang w:val="en-US"/>
        </w:rPr>
        <w:t>Middle</w:t>
      </w:r>
      <w:r w:rsidRPr="0075696D">
        <w:rPr>
          <w:rFonts w:ascii="Times New Roman" w:hAnsi="Times New Roman" w:cs="Times New Roman"/>
          <w:bCs/>
          <w:sz w:val="20"/>
          <w:lang w:val="en-US"/>
        </w:rPr>
        <w:t xml:space="preserve"> </w:t>
      </w:r>
      <w:r w:rsidRPr="00AC4C72">
        <w:rPr>
          <w:rFonts w:ascii="Times New Roman" w:hAnsi="Times New Roman" w:cs="Times New Roman"/>
          <w:bCs/>
          <w:sz w:val="20"/>
          <w:lang w:val="en-US"/>
        </w:rPr>
        <w:t>East</w:t>
      </w:r>
      <w:r w:rsidRPr="0075696D">
        <w:rPr>
          <w:rFonts w:ascii="Times New Roman" w:hAnsi="Times New Roman" w:cs="Times New Roman"/>
          <w:bCs/>
          <w:sz w:val="20"/>
          <w:lang w:val="en-US"/>
        </w:rPr>
        <w:t xml:space="preserve"> &amp; </w:t>
      </w:r>
      <w:r w:rsidRPr="00AC4C72">
        <w:rPr>
          <w:rFonts w:ascii="Times New Roman" w:hAnsi="Times New Roman" w:cs="Times New Roman"/>
          <w:bCs/>
          <w:sz w:val="20"/>
          <w:lang w:val="en-US"/>
        </w:rPr>
        <w:t>North</w:t>
      </w:r>
      <w:r w:rsidRPr="0075696D">
        <w:rPr>
          <w:rFonts w:ascii="Times New Roman" w:hAnsi="Times New Roman" w:cs="Times New Roman"/>
          <w:bCs/>
          <w:sz w:val="20"/>
          <w:lang w:val="en-US"/>
        </w:rPr>
        <w:t xml:space="preserve"> </w:t>
      </w:r>
      <w:r w:rsidRPr="00AC4C72">
        <w:rPr>
          <w:rFonts w:ascii="Times New Roman" w:hAnsi="Times New Roman" w:cs="Times New Roman"/>
          <w:bCs/>
          <w:sz w:val="20"/>
          <w:lang w:val="en-US"/>
        </w:rPr>
        <w:t>Africa</w:t>
      </w:r>
      <w:r w:rsidRPr="0075696D">
        <w:rPr>
          <w:rFonts w:ascii="Times New Roman" w:hAnsi="Times New Roman" w:cs="Times New Roman"/>
          <w:sz w:val="20"/>
          <w:lang w:val="en-US"/>
        </w:rPr>
        <w:t xml:space="preserve"> </w:t>
      </w:r>
      <w:r>
        <w:rPr>
          <w:rFonts w:ascii="Times New Roman" w:hAnsi="Times New Roman" w:cs="Times New Roman"/>
          <w:sz w:val="20"/>
          <w:lang w:val="en-US"/>
        </w:rPr>
        <w:t xml:space="preserve">countries </w:t>
      </w:r>
      <w:r w:rsidRPr="008C3617">
        <w:rPr>
          <w:rFonts w:ascii="Times New Roman" w:hAnsi="Times New Roman" w:cs="Times New Roman"/>
          <w:sz w:val="20"/>
          <w:lang w:val="en-US"/>
        </w:rPr>
        <w:t xml:space="preserve">increased by </w:t>
      </w:r>
      <w:r>
        <w:rPr>
          <w:rFonts w:ascii="Times New Roman" w:hAnsi="Times New Roman" w:cs="Times New Roman"/>
          <w:sz w:val="20"/>
          <w:lang w:val="en-US"/>
        </w:rPr>
        <w:t>7</w:t>
      </w:r>
      <w:r w:rsidRPr="008C3617">
        <w:rPr>
          <w:rFonts w:ascii="Times New Roman" w:hAnsi="Times New Roman" w:cs="Times New Roman"/>
          <w:sz w:val="20"/>
          <w:lang w:val="en-US"/>
        </w:rPr>
        <w:t xml:space="preserve">%. </w:t>
      </w:r>
    </w:p>
    <w:p w:rsidR="00216EE1" w:rsidRPr="00B40AB4" w:rsidRDefault="00B40AB4" w:rsidP="002F741D">
      <w:pPr>
        <w:spacing w:after="170"/>
        <w:ind w:firstLine="284"/>
        <w:jc w:val="both"/>
        <w:rPr>
          <w:sz w:val="20"/>
          <w:lang w:val="en-US"/>
        </w:rPr>
      </w:pPr>
      <w:r w:rsidRPr="00B40AB4">
        <w:rPr>
          <w:rFonts w:ascii="Times New Roman" w:hAnsi="Times New Roman" w:cs="Times New Roman"/>
          <w:sz w:val="20"/>
          <w:lang w:val="en-US"/>
        </w:rPr>
        <w:t>A different picture is observed in the BRICS countries</w:t>
      </w:r>
      <w:r w:rsidR="00216EE1" w:rsidRPr="00B40AB4">
        <w:rPr>
          <w:rFonts w:ascii="Times New Roman" w:hAnsi="Times New Roman" w:cs="Times New Roman"/>
          <w:bCs/>
          <w:sz w:val="20"/>
          <w:lang w:val="en-US"/>
        </w:rPr>
        <w:t xml:space="preserve">. </w:t>
      </w:r>
      <w:r w:rsidR="00B37056">
        <w:rPr>
          <w:rFonts w:ascii="Times New Roman" w:hAnsi="Times New Roman" w:cs="Times New Roman"/>
          <w:bCs/>
          <w:sz w:val="20"/>
          <w:lang w:val="en-US"/>
        </w:rPr>
        <w:t>Although</w:t>
      </w:r>
      <w:r w:rsidR="00B37056" w:rsidRPr="00B37056">
        <w:rPr>
          <w:rFonts w:ascii="Times New Roman" w:hAnsi="Times New Roman" w:cs="Times New Roman"/>
          <w:bCs/>
          <w:sz w:val="20"/>
          <w:lang w:val="en-US"/>
        </w:rPr>
        <w:t xml:space="preserve"> </w:t>
      </w:r>
      <w:r w:rsidR="00B37056">
        <w:rPr>
          <w:rFonts w:ascii="Times New Roman" w:hAnsi="Times New Roman" w:cs="Times New Roman"/>
          <w:bCs/>
          <w:sz w:val="20"/>
          <w:lang w:val="en-US"/>
        </w:rPr>
        <w:t>some</w:t>
      </w:r>
      <w:r w:rsidR="00B37056" w:rsidRPr="00B37056">
        <w:rPr>
          <w:rFonts w:ascii="Times New Roman" w:hAnsi="Times New Roman" w:cs="Times New Roman"/>
          <w:bCs/>
          <w:sz w:val="20"/>
          <w:lang w:val="en-US"/>
        </w:rPr>
        <w:t xml:space="preserve"> </w:t>
      </w:r>
      <w:r w:rsidR="00B37056">
        <w:rPr>
          <w:rFonts w:ascii="Times New Roman" w:hAnsi="Times New Roman" w:cs="Times New Roman"/>
          <w:bCs/>
          <w:sz w:val="20"/>
          <w:lang w:val="en-US"/>
        </w:rPr>
        <w:t>drop</w:t>
      </w:r>
      <w:r w:rsidR="00B37056" w:rsidRPr="00B37056">
        <w:rPr>
          <w:rFonts w:ascii="Times New Roman" w:hAnsi="Times New Roman" w:cs="Times New Roman"/>
          <w:bCs/>
          <w:sz w:val="20"/>
          <w:lang w:val="en-US"/>
        </w:rPr>
        <w:t xml:space="preserve"> </w:t>
      </w:r>
      <w:r w:rsidR="00B37056">
        <w:rPr>
          <w:rFonts w:ascii="Times New Roman" w:hAnsi="Times New Roman" w:cs="Times New Roman"/>
          <w:bCs/>
          <w:sz w:val="20"/>
          <w:lang w:val="en-US"/>
        </w:rPr>
        <w:t>of</w:t>
      </w:r>
      <w:r w:rsidR="00B37056" w:rsidRPr="00B37056">
        <w:rPr>
          <w:rFonts w:ascii="Times New Roman" w:hAnsi="Times New Roman" w:cs="Times New Roman"/>
          <w:bCs/>
          <w:sz w:val="20"/>
          <w:lang w:val="en-US"/>
        </w:rPr>
        <w:t xml:space="preserve"> </w:t>
      </w:r>
      <w:r w:rsidR="00B37056">
        <w:rPr>
          <w:rFonts w:ascii="Times New Roman" w:hAnsi="Times New Roman" w:cs="Times New Roman"/>
          <w:bCs/>
          <w:sz w:val="20"/>
          <w:lang w:val="en-US"/>
        </w:rPr>
        <w:t>the</w:t>
      </w:r>
      <w:r w:rsidR="00B37056" w:rsidRPr="00B37056">
        <w:rPr>
          <w:rFonts w:ascii="Times New Roman" w:hAnsi="Times New Roman" w:cs="Times New Roman"/>
          <w:bCs/>
          <w:sz w:val="20"/>
          <w:lang w:val="en-US"/>
        </w:rPr>
        <w:t xml:space="preserve"> </w:t>
      </w:r>
      <w:r w:rsidR="00971FF9" w:rsidRPr="00AC4C72">
        <w:rPr>
          <w:rFonts w:ascii="Times New Roman" w:hAnsi="Times New Roman" w:cs="Times New Roman"/>
          <w:sz w:val="20"/>
          <w:lang w:val="en-US"/>
        </w:rPr>
        <w:t>Environmental</w:t>
      </w:r>
      <w:r w:rsidR="00971FF9" w:rsidRPr="00B37056">
        <w:rPr>
          <w:rFonts w:ascii="Times New Roman" w:hAnsi="Times New Roman" w:cs="Times New Roman"/>
          <w:sz w:val="20"/>
          <w:lang w:val="en-US"/>
        </w:rPr>
        <w:t xml:space="preserve"> </w:t>
      </w:r>
      <w:r w:rsidR="00971FF9" w:rsidRPr="00AC4C72">
        <w:rPr>
          <w:rFonts w:ascii="Times New Roman" w:hAnsi="Times New Roman" w:cs="Times New Roman"/>
          <w:sz w:val="20"/>
          <w:lang w:val="en-US"/>
        </w:rPr>
        <w:t>sustainability</w:t>
      </w:r>
      <w:r w:rsidR="00B37056" w:rsidRPr="00B37056">
        <w:rPr>
          <w:rFonts w:ascii="Times New Roman" w:hAnsi="Times New Roman" w:cs="Times New Roman"/>
          <w:sz w:val="20"/>
          <w:lang w:val="en-US"/>
        </w:rPr>
        <w:t xml:space="preserve"> </w:t>
      </w:r>
      <w:r w:rsidR="00B37056">
        <w:rPr>
          <w:rFonts w:ascii="Times New Roman" w:hAnsi="Times New Roman" w:cs="Times New Roman"/>
          <w:sz w:val="20"/>
          <w:lang w:val="en-US"/>
        </w:rPr>
        <w:t>subsystem</w:t>
      </w:r>
      <w:r w:rsidR="00B37056" w:rsidRPr="00B37056">
        <w:rPr>
          <w:rFonts w:ascii="Times New Roman" w:hAnsi="Times New Roman" w:cs="Times New Roman"/>
          <w:sz w:val="20"/>
          <w:lang w:val="en-US"/>
        </w:rPr>
        <w:t xml:space="preserve"> </w:t>
      </w:r>
      <w:r w:rsidR="00B37056">
        <w:rPr>
          <w:rFonts w:ascii="Times New Roman" w:hAnsi="Times New Roman" w:cs="Times New Roman"/>
          <w:sz w:val="20"/>
          <w:lang w:val="en-US"/>
        </w:rPr>
        <w:t>value</w:t>
      </w:r>
      <w:r w:rsidR="00B37056" w:rsidRPr="00B37056">
        <w:rPr>
          <w:rFonts w:ascii="Times New Roman" w:hAnsi="Times New Roman" w:cs="Times New Roman"/>
          <w:sz w:val="20"/>
          <w:lang w:val="en-US"/>
        </w:rPr>
        <w:t xml:space="preserve"> </w:t>
      </w:r>
      <w:r w:rsidR="00B37056">
        <w:rPr>
          <w:rFonts w:ascii="Times New Roman" w:hAnsi="Times New Roman" w:cs="Times New Roman"/>
          <w:sz w:val="20"/>
          <w:lang w:val="en-US"/>
        </w:rPr>
        <w:t>occurred</w:t>
      </w:r>
      <w:r w:rsidR="00B37056" w:rsidRPr="00B37056">
        <w:rPr>
          <w:rFonts w:ascii="Times New Roman" w:hAnsi="Times New Roman" w:cs="Times New Roman"/>
          <w:sz w:val="20"/>
          <w:lang w:val="en-US"/>
        </w:rPr>
        <w:t xml:space="preserve"> </w:t>
      </w:r>
      <w:r w:rsidR="00B37056">
        <w:rPr>
          <w:rFonts w:ascii="Times New Roman" w:hAnsi="Times New Roman" w:cs="Times New Roman"/>
          <w:sz w:val="20"/>
          <w:lang w:val="en-US"/>
        </w:rPr>
        <w:t>in</w:t>
      </w:r>
      <w:r w:rsidR="00B37056" w:rsidRPr="00B37056">
        <w:rPr>
          <w:rFonts w:ascii="Times New Roman" w:hAnsi="Times New Roman" w:cs="Times New Roman"/>
          <w:sz w:val="20"/>
          <w:lang w:val="en-US"/>
        </w:rPr>
        <w:t xml:space="preserve"> 2014</w:t>
      </w:r>
      <w:r w:rsidR="00971FF9" w:rsidRPr="00B37056">
        <w:rPr>
          <w:rFonts w:ascii="Times New Roman" w:hAnsi="Times New Roman" w:cs="Times New Roman"/>
          <w:sz w:val="20"/>
          <w:lang w:val="en-US"/>
        </w:rPr>
        <w:t>,</w:t>
      </w:r>
      <w:r w:rsidR="004825B4" w:rsidRPr="00B37056">
        <w:rPr>
          <w:rFonts w:ascii="Times New Roman" w:hAnsi="Times New Roman" w:cs="Times New Roman"/>
          <w:sz w:val="20"/>
          <w:lang w:val="en-US"/>
        </w:rPr>
        <w:t xml:space="preserve"> </w:t>
      </w:r>
      <w:r w:rsidR="00B37056">
        <w:rPr>
          <w:rFonts w:ascii="Times New Roman" w:hAnsi="Times New Roman" w:cs="Times New Roman"/>
          <w:sz w:val="20"/>
          <w:lang w:val="en-US"/>
        </w:rPr>
        <w:t>as</w:t>
      </w:r>
      <w:r w:rsidR="00B37056" w:rsidRPr="00B37056">
        <w:rPr>
          <w:rFonts w:ascii="Times New Roman" w:hAnsi="Times New Roman" w:cs="Times New Roman"/>
          <w:sz w:val="20"/>
          <w:lang w:val="en-US"/>
        </w:rPr>
        <w:t xml:space="preserve"> </w:t>
      </w:r>
      <w:r w:rsidR="00B37056">
        <w:rPr>
          <w:rFonts w:ascii="Times New Roman" w:hAnsi="Times New Roman" w:cs="Times New Roman"/>
          <w:sz w:val="20"/>
          <w:lang w:val="en-US"/>
        </w:rPr>
        <w:t>shown in Figure 4</w:t>
      </w:r>
      <w:r w:rsidR="004825B4" w:rsidRPr="00B37056">
        <w:rPr>
          <w:rFonts w:ascii="Times New Roman" w:hAnsi="Times New Roman" w:cs="Times New Roman"/>
          <w:sz w:val="20"/>
          <w:lang w:val="en-US"/>
        </w:rPr>
        <w:t>,</w:t>
      </w:r>
      <w:r w:rsidR="00971FF9" w:rsidRPr="00B37056">
        <w:rPr>
          <w:rFonts w:ascii="Times New Roman" w:hAnsi="Times New Roman" w:cs="Times New Roman"/>
          <w:sz w:val="20"/>
          <w:lang w:val="en-US"/>
        </w:rPr>
        <w:t xml:space="preserve"> </w:t>
      </w:r>
      <w:r w:rsidR="00B37056">
        <w:rPr>
          <w:rFonts w:ascii="Times New Roman" w:hAnsi="Times New Roman" w:cs="Times New Roman"/>
          <w:bCs/>
          <w:sz w:val="20"/>
          <w:lang w:val="en-US"/>
        </w:rPr>
        <w:t xml:space="preserve">in </w:t>
      </w:r>
      <w:r w:rsidR="00216EE1" w:rsidRPr="00B37056">
        <w:rPr>
          <w:rFonts w:ascii="Times New Roman" w:hAnsi="Times New Roman" w:cs="Times New Roman"/>
          <w:bCs/>
          <w:sz w:val="20"/>
          <w:lang w:val="en-US"/>
        </w:rPr>
        <w:t>2015</w:t>
      </w:r>
      <w:r w:rsidR="00B37056">
        <w:rPr>
          <w:rFonts w:ascii="Times New Roman" w:hAnsi="Times New Roman" w:cs="Times New Roman"/>
          <w:bCs/>
          <w:sz w:val="20"/>
          <w:lang w:val="en-US"/>
        </w:rPr>
        <w:t xml:space="preserve"> it recovered up to </w:t>
      </w:r>
      <w:r w:rsidR="00216EE1" w:rsidRPr="00B37056">
        <w:rPr>
          <w:rFonts w:ascii="Times New Roman" w:hAnsi="Times New Roman" w:cs="Times New Roman"/>
          <w:bCs/>
          <w:sz w:val="20"/>
          <w:lang w:val="en-US"/>
        </w:rPr>
        <w:t xml:space="preserve">0.54 </w:t>
      </w:r>
      <w:r w:rsidR="00B37056">
        <w:rPr>
          <w:rFonts w:ascii="Times New Roman" w:hAnsi="Times New Roman" w:cs="Times New Roman"/>
          <w:bCs/>
          <w:sz w:val="20"/>
          <w:lang w:val="en-US"/>
        </w:rPr>
        <w:t>and remained practically constant during</w:t>
      </w:r>
      <w:r w:rsidR="00971FF9" w:rsidRPr="00B37056">
        <w:rPr>
          <w:rFonts w:ascii="Times New Roman" w:hAnsi="Times New Roman" w:cs="Times New Roman"/>
          <w:sz w:val="20"/>
          <w:lang w:val="en-US"/>
        </w:rPr>
        <w:t xml:space="preserve"> </w:t>
      </w:r>
      <w:r w:rsidR="00B37056">
        <w:rPr>
          <w:rFonts w:ascii="Times New Roman" w:hAnsi="Times New Roman" w:cs="Times New Roman"/>
          <w:sz w:val="20"/>
          <w:lang w:val="en-US"/>
        </w:rPr>
        <w:t>the last several years</w:t>
      </w:r>
      <w:r w:rsidR="00971FF9" w:rsidRPr="00B37056">
        <w:rPr>
          <w:rFonts w:ascii="Times New Roman" w:hAnsi="Times New Roman" w:cs="Times New Roman"/>
          <w:sz w:val="20"/>
          <w:lang w:val="en-US"/>
        </w:rPr>
        <w:t xml:space="preserve">. </w:t>
      </w:r>
      <w:r>
        <w:rPr>
          <w:rFonts w:ascii="Times New Roman" w:hAnsi="Times New Roman" w:cs="Times New Roman"/>
          <w:sz w:val="20"/>
          <w:lang w:val="en-US"/>
        </w:rPr>
        <w:t>Slight</w:t>
      </w:r>
      <w:r w:rsidRPr="00B40AB4">
        <w:rPr>
          <w:rFonts w:ascii="Times New Roman" w:hAnsi="Times New Roman" w:cs="Times New Roman"/>
          <w:sz w:val="20"/>
          <w:lang w:val="en-US"/>
        </w:rPr>
        <w:t xml:space="preserve"> </w:t>
      </w:r>
      <w:r>
        <w:rPr>
          <w:rFonts w:ascii="Times New Roman" w:hAnsi="Times New Roman" w:cs="Times New Roman"/>
          <w:sz w:val="20"/>
          <w:lang w:val="en-US"/>
        </w:rPr>
        <w:t>growth</w:t>
      </w:r>
      <w:r w:rsidRPr="00B40AB4">
        <w:rPr>
          <w:rFonts w:ascii="Times New Roman" w:hAnsi="Times New Roman" w:cs="Times New Roman"/>
          <w:sz w:val="20"/>
          <w:lang w:val="en-US"/>
        </w:rPr>
        <w:t xml:space="preserve"> </w:t>
      </w:r>
      <w:r>
        <w:rPr>
          <w:rFonts w:ascii="Times New Roman" w:hAnsi="Times New Roman" w:cs="Times New Roman"/>
          <w:sz w:val="20"/>
          <w:lang w:val="en-US"/>
        </w:rPr>
        <w:t>is</w:t>
      </w:r>
      <w:r w:rsidRPr="00B40AB4">
        <w:rPr>
          <w:rFonts w:ascii="Times New Roman" w:hAnsi="Times New Roman" w:cs="Times New Roman"/>
          <w:sz w:val="20"/>
          <w:lang w:val="en-US"/>
        </w:rPr>
        <w:t xml:space="preserve"> </w:t>
      </w:r>
      <w:r>
        <w:rPr>
          <w:rFonts w:ascii="Times New Roman" w:hAnsi="Times New Roman" w:cs="Times New Roman"/>
          <w:sz w:val="20"/>
          <w:lang w:val="en-US"/>
        </w:rPr>
        <w:t>also</w:t>
      </w:r>
      <w:r w:rsidRPr="00B40AB4">
        <w:rPr>
          <w:rFonts w:ascii="Times New Roman" w:hAnsi="Times New Roman" w:cs="Times New Roman"/>
          <w:sz w:val="20"/>
          <w:lang w:val="en-US"/>
        </w:rPr>
        <w:t xml:space="preserve"> </w:t>
      </w:r>
      <w:r>
        <w:rPr>
          <w:rFonts w:ascii="Times New Roman" w:hAnsi="Times New Roman" w:cs="Times New Roman"/>
          <w:sz w:val="20"/>
          <w:lang w:val="en-US"/>
        </w:rPr>
        <w:t>observed</w:t>
      </w:r>
      <w:r w:rsidRPr="00B40AB4">
        <w:rPr>
          <w:rFonts w:ascii="Times New Roman" w:hAnsi="Times New Roman" w:cs="Times New Roman"/>
          <w:sz w:val="20"/>
          <w:lang w:val="en-US"/>
        </w:rPr>
        <w:t xml:space="preserve"> </w:t>
      </w:r>
      <w:r>
        <w:rPr>
          <w:rFonts w:ascii="Times New Roman" w:hAnsi="Times New Roman" w:cs="Times New Roman"/>
          <w:sz w:val="20"/>
          <w:lang w:val="en-US"/>
        </w:rPr>
        <w:t>in</w:t>
      </w:r>
      <w:r w:rsidRPr="00B40AB4">
        <w:rPr>
          <w:rFonts w:ascii="Times New Roman" w:hAnsi="Times New Roman" w:cs="Times New Roman"/>
          <w:sz w:val="20"/>
          <w:lang w:val="en-US"/>
        </w:rPr>
        <w:t xml:space="preserve"> </w:t>
      </w:r>
      <w:r>
        <w:rPr>
          <w:rFonts w:ascii="Times New Roman" w:hAnsi="Times New Roman" w:cs="Times New Roman"/>
          <w:sz w:val="20"/>
          <w:lang w:val="en-US"/>
        </w:rPr>
        <w:t>the other two</w:t>
      </w:r>
      <w:r w:rsidRPr="00B40AB4">
        <w:rPr>
          <w:rFonts w:ascii="Times New Roman" w:hAnsi="Times New Roman" w:cs="Times New Roman"/>
          <w:sz w:val="20"/>
          <w:lang w:val="en-US"/>
        </w:rPr>
        <w:t xml:space="preserve"> </w:t>
      </w:r>
      <w:r>
        <w:rPr>
          <w:rFonts w:ascii="Times New Roman" w:hAnsi="Times New Roman" w:cs="Times New Roman"/>
          <w:sz w:val="20"/>
          <w:lang w:val="en-US"/>
        </w:rPr>
        <w:t>subsystems</w:t>
      </w:r>
      <w:r w:rsidR="00971FF9" w:rsidRPr="00B40AB4">
        <w:rPr>
          <w:rFonts w:ascii="Times New Roman" w:hAnsi="Times New Roman" w:cs="Times New Roman"/>
          <w:sz w:val="20"/>
          <w:lang w:val="en-US"/>
        </w:rPr>
        <w:t xml:space="preserve">. </w:t>
      </w:r>
    </w:p>
    <w:p w:rsidR="00216EE1" w:rsidRPr="00B40AB4" w:rsidRDefault="00216EE1" w:rsidP="00AC4C72">
      <w:pPr>
        <w:ind w:firstLine="284"/>
        <w:jc w:val="both"/>
        <w:rPr>
          <w:rFonts w:ascii="Times New Roman" w:hAnsi="Times New Roman" w:cs="Times New Roman"/>
          <w:sz w:val="20"/>
          <w:lang w:val="en-US"/>
        </w:rPr>
      </w:pPr>
    </w:p>
    <w:p w:rsidR="00513E0E" w:rsidRPr="00513E0E" w:rsidRDefault="00565F9E" w:rsidP="00AC4C72">
      <w:pPr>
        <w:ind w:firstLine="284"/>
        <w:jc w:val="both"/>
        <w:rPr>
          <w:sz w:val="20"/>
          <w:lang w:val="ru-RU"/>
        </w:rPr>
      </w:pPr>
      <w:r w:rsidRPr="00565F9E">
        <w:rPr>
          <w:noProof/>
          <w:sz w:val="20"/>
          <w:lang w:val="en-US" w:eastAsia="en-US"/>
        </w:rPr>
        <w:lastRenderedPageBreak/>
        <w:drawing>
          <wp:inline distT="0" distB="0" distL="0" distR="0">
            <wp:extent cx="2664000" cy="1910687"/>
            <wp:effectExtent l="0" t="0" r="0" b="0"/>
            <wp:docPr id="1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0445F" w:rsidRPr="007B3E69" w:rsidRDefault="0060445F" w:rsidP="002F741D">
      <w:pPr>
        <w:spacing w:before="170" w:after="170"/>
        <w:jc w:val="both"/>
        <w:rPr>
          <w:rFonts w:ascii="Times New Roman" w:hAnsi="Times New Roman"/>
          <w:sz w:val="18"/>
          <w:szCs w:val="18"/>
          <w:lang w:val="en-US"/>
        </w:rPr>
      </w:pPr>
      <w:r w:rsidRPr="00CA1091">
        <w:rPr>
          <w:rFonts w:ascii="Times New Roman" w:hAnsi="Times New Roman"/>
          <w:b/>
          <w:sz w:val="18"/>
          <w:szCs w:val="18"/>
          <w:lang w:val="en-GB"/>
        </w:rPr>
        <w:t>Fig</w:t>
      </w:r>
      <w:r>
        <w:rPr>
          <w:rFonts w:ascii="Times New Roman" w:hAnsi="Times New Roman"/>
          <w:b/>
          <w:sz w:val="18"/>
          <w:szCs w:val="18"/>
          <w:lang w:val="en-GB"/>
        </w:rPr>
        <w:t>.</w:t>
      </w:r>
      <w:r w:rsidRPr="00CA1091">
        <w:rPr>
          <w:rFonts w:ascii="Times New Roman" w:hAnsi="Times New Roman"/>
          <w:b/>
          <w:sz w:val="18"/>
          <w:szCs w:val="18"/>
          <w:lang w:val="en-GB"/>
        </w:rPr>
        <w:t xml:space="preserve"> </w:t>
      </w:r>
      <w:r>
        <w:rPr>
          <w:rFonts w:ascii="Times New Roman" w:hAnsi="Times New Roman"/>
          <w:b/>
          <w:sz w:val="18"/>
          <w:szCs w:val="18"/>
          <w:lang w:val="en-GB"/>
        </w:rPr>
        <w:t>4</w:t>
      </w:r>
      <w:r w:rsidRPr="00CA1091">
        <w:rPr>
          <w:rFonts w:ascii="Times New Roman" w:hAnsi="Times New Roman"/>
          <w:b/>
          <w:bCs/>
          <w:sz w:val="18"/>
          <w:szCs w:val="18"/>
          <w:lang w:val="en-GB"/>
        </w:rPr>
        <w:t>.</w:t>
      </w:r>
      <w:r w:rsidRPr="00CA1091">
        <w:rPr>
          <w:rFonts w:ascii="Times New Roman" w:hAnsi="Times New Roman"/>
          <w:sz w:val="18"/>
          <w:szCs w:val="18"/>
          <w:lang w:val="en-GB"/>
        </w:rPr>
        <w:t xml:space="preserve"> </w:t>
      </w:r>
      <w:r w:rsidRPr="007B3E69">
        <w:rPr>
          <w:rFonts w:ascii="Times New Roman" w:hAnsi="Times New Roman"/>
          <w:sz w:val="18"/>
          <w:szCs w:val="18"/>
          <w:lang w:val="en-GB"/>
        </w:rPr>
        <w:t>Energy</w:t>
      </w:r>
      <w:r w:rsidRPr="007B3E69">
        <w:rPr>
          <w:rFonts w:ascii="Times New Roman" w:hAnsi="Times New Roman"/>
          <w:sz w:val="18"/>
          <w:szCs w:val="18"/>
          <w:lang w:val="en-US"/>
        </w:rPr>
        <w:t xml:space="preserve"> </w:t>
      </w:r>
      <w:r w:rsidRPr="007B3E69">
        <w:rPr>
          <w:rFonts w:ascii="Times New Roman" w:hAnsi="Times New Roman"/>
          <w:sz w:val="18"/>
          <w:szCs w:val="18"/>
          <w:lang w:val="en-GB"/>
        </w:rPr>
        <w:t>Architecture</w:t>
      </w:r>
      <w:r w:rsidRPr="007B3E69">
        <w:rPr>
          <w:rFonts w:ascii="Times New Roman" w:hAnsi="Times New Roman"/>
          <w:sz w:val="18"/>
          <w:szCs w:val="18"/>
          <w:lang w:val="en-US"/>
        </w:rPr>
        <w:t xml:space="preserve"> </w:t>
      </w:r>
      <w:r w:rsidRPr="007B3E69">
        <w:rPr>
          <w:rFonts w:ascii="Times New Roman" w:hAnsi="Times New Roman"/>
          <w:sz w:val="18"/>
          <w:szCs w:val="18"/>
          <w:lang w:val="en-GB"/>
        </w:rPr>
        <w:t>Performance</w:t>
      </w:r>
      <w:r w:rsidRPr="007B3E69">
        <w:rPr>
          <w:rFonts w:ascii="Times New Roman" w:hAnsi="Times New Roman"/>
          <w:sz w:val="18"/>
          <w:szCs w:val="18"/>
          <w:lang w:val="en-US"/>
        </w:rPr>
        <w:t xml:space="preserve"> </w:t>
      </w:r>
      <w:r w:rsidRPr="007B3E69">
        <w:rPr>
          <w:rFonts w:ascii="Times New Roman" w:hAnsi="Times New Roman"/>
          <w:sz w:val="18"/>
          <w:szCs w:val="18"/>
          <w:lang w:val="en-GB"/>
        </w:rPr>
        <w:t>Index</w:t>
      </w:r>
      <w:r>
        <w:rPr>
          <w:rFonts w:ascii="Times New Roman" w:hAnsi="Times New Roman"/>
          <w:sz w:val="18"/>
          <w:szCs w:val="18"/>
          <w:lang w:val="en-GB"/>
        </w:rPr>
        <w:t xml:space="preserve"> of BRICS</w:t>
      </w:r>
    </w:p>
    <w:p w:rsidR="00971FF9" w:rsidRPr="00B37056" w:rsidRDefault="00B37056" w:rsidP="006A4276">
      <w:pPr>
        <w:ind w:firstLine="284"/>
        <w:jc w:val="both"/>
        <w:rPr>
          <w:rFonts w:ascii="Times New Roman" w:hAnsi="Times New Roman" w:cs="Times New Roman"/>
          <w:sz w:val="20"/>
          <w:lang w:val="en-US"/>
        </w:rPr>
      </w:pPr>
      <w:r w:rsidRPr="00B37056">
        <w:rPr>
          <w:rFonts w:ascii="Times New Roman" w:hAnsi="Times New Roman" w:cs="Times New Roman"/>
          <w:sz w:val="20"/>
          <w:lang w:val="en-US"/>
        </w:rPr>
        <w:t xml:space="preserve">In </w:t>
      </w:r>
      <w:r>
        <w:rPr>
          <w:rFonts w:ascii="Times New Roman" w:hAnsi="Times New Roman" w:cs="Times New Roman"/>
          <w:sz w:val="20"/>
          <w:lang w:val="en-US"/>
        </w:rPr>
        <w:t>g</w:t>
      </w:r>
      <w:r w:rsidRPr="00B37056">
        <w:rPr>
          <w:rFonts w:ascii="Times New Roman" w:hAnsi="Times New Roman" w:cs="Times New Roman"/>
          <w:sz w:val="20"/>
          <w:lang w:val="en-US"/>
        </w:rPr>
        <w:t xml:space="preserve">eneral, the energy </w:t>
      </w:r>
      <w:r>
        <w:rPr>
          <w:rFonts w:ascii="Times New Roman" w:hAnsi="Times New Roman" w:cs="Times New Roman"/>
          <w:sz w:val="20"/>
          <w:lang w:val="en-US"/>
        </w:rPr>
        <w:t xml:space="preserve">sector </w:t>
      </w:r>
      <w:r w:rsidR="002F0E98">
        <w:rPr>
          <w:rFonts w:ascii="Times New Roman" w:hAnsi="Times New Roman" w:cs="Times New Roman"/>
          <w:sz w:val="20"/>
          <w:lang w:val="en-US"/>
        </w:rPr>
        <w:t>performance</w:t>
      </w:r>
      <w:r>
        <w:rPr>
          <w:rFonts w:ascii="Times New Roman" w:hAnsi="Times New Roman" w:cs="Times New Roman"/>
          <w:sz w:val="20"/>
          <w:lang w:val="en-US"/>
        </w:rPr>
        <w:t xml:space="preserve"> </w:t>
      </w:r>
      <w:r w:rsidRPr="00B37056">
        <w:rPr>
          <w:rFonts w:ascii="Times New Roman" w:hAnsi="Times New Roman" w:cs="Times New Roman"/>
          <w:sz w:val="20"/>
          <w:lang w:val="en-US"/>
        </w:rPr>
        <w:t>efficiency of the BRICS countries also has a low growth compared to 2013-7%</w:t>
      </w:r>
      <w:r>
        <w:rPr>
          <w:rFonts w:ascii="Times New Roman" w:hAnsi="Times New Roman" w:cs="Times New Roman"/>
          <w:sz w:val="20"/>
          <w:lang w:val="en-US"/>
        </w:rPr>
        <w:t>.</w:t>
      </w:r>
    </w:p>
    <w:p w:rsidR="006A4276" w:rsidRPr="001E46A0" w:rsidRDefault="006027D3" w:rsidP="002F741D">
      <w:pPr>
        <w:spacing w:after="170"/>
        <w:ind w:firstLine="284"/>
        <w:jc w:val="both"/>
        <w:rPr>
          <w:sz w:val="20"/>
          <w:lang w:val="en-US"/>
        </w:rPr>
      </w:pPr>
      <w:r w:rsidRPr="006027D3">
        <w:rPr>
          <w:rFonts w:ascii="Times New Roman" w:hAnsi="Times New Roman" w:cs="Times New Roman"/>
          <w:sz w:val="20"/>
          <w:lang w:val="en-US"/>
        </w:rPr>
        <w:t>In the ASEAN countries, sl</w:t>
      </w:r>
      <w:r>
        <w:rPr>
          <w:rFonts w:ascii="Times New Roman" w:hAnsi="Times New Roman" w:cs="Times New Roman"/>
          <w:sz w:val="20"/>
          <w:lang w:val="en-US"/>
        </w:rPr>
        <w:t>ight growth is observed in the E</w:t>
      </w:r>
      <w:r w:rsidRPr="006027D3">
        <w:rPr>
          <w:rFonts w:ascii="Times New Roman" w:hAnsi="Times New Roman" w:cs="Times New Roman"/>
          <w:sz w:val="20"/>
          <w:lang w:val="en-US"/>
        </w:rPr>
        <w:t xml:space="preserve">conomic growth and development subsystem by 16% and in the </w:t>
      </w:r>
      <w:r>
        <w:rPr>
          <w:rFonts w:ascii="Times New Roman" w:hAnsi="Times New Roman" w:cs="Times New Roman"/>
          <w:sz w:val="20"/>
          <w:lang w:val="en-US"/>
        </w:rPr>
        <w:t>E</w:t>
      </w:r>
      <w:r w:rsidRPr="006027D3">
        <w:rPr>
          <w:rFonts w:ascii="Times New Roman" w:hAnsi="Times New Roman" w:cs="Times New Roman"/>
          <w:sz w:val="20"/>
          <w:lang w:val="en-US"/>
        </w:rPr>
        <w:t xml:space="preserve">nvironmental sustainability subsystem by 15%, as </w:t>
      </w:r>
      <w:r>
        <w:rPr>
          <w:rFonts w:ascii="Times New Roman" w:hAnsi="Times New Roman" w:cs="Times New Roman"/>
          <w:sz w:val="20"/>
          <w:lang w:val="en-US"/>
        </w:rPr>
        <w:t>is obvious from Figure</w:t>
      </w:r>
      <w:r w:rsidRPr="006027D3">
        <w:rPr>
          <w:rFonts w:ascii="Times New Roman" w:hAnsi="Times New Roman" w:cs="Times New Roman"/>
          <w:sz w:val="20"/>
          <w:lang w:val="en-US"/>
        </w:rPr>
        <w:t xml:space="preserve"> 5. </w:t>
      </w:r>
      <w:r>
        <w:rPr>
          <w:rFonts w:ascii="Times New Roman" w:hAnsi="Times New Roman" w:cs="Times New Roman"/>
          <w:sz w:val="20"/>
          <w:lang w:val="en-US"/>
        </w:rPr>
        <w:t>At the same time,</w:t>
      </w:r>
      <w:r w:rsidRPr="006027D3">
        <w:rPr>
          <w:rFonts w:ascii="Times New Roman" w:hAnsi="Times New Roman" w:cs="Times New Roman"/>
          <w:sz w:val="20"/>
          <w:lang w:val="en-US"/>
        </w:rPr>
        <w:t xml:space="preserve"> </w:t>
      </w:r>
      <w:r>
        <w:rPr>
          <w:rFonts w:ascii="Times New Roman" w:hAnsi="Times New Roman" w:cs="Times New Roman"/>
          <w:sz w:val="20"/>
          <w:lang w:val="en-US"/>
        </w:rPr>
        <w:t xml:space="preserve">the subsystem values themselves as of </w:t>
      </w:r>
      <w:r w:rsidRPr="00CE1E64">
        <w:rPr>
          <w:rFonts w:ascii="Times New Roman" w:hAnsi="Times New Roman" w:cs="Times New Roman"/>
          <w:sz w:val="20"/>
          <w:lang w:val="en-US"/>
        </w:rPr>
        <w:t xml:space="preserve">2017 </w:t>
      </w:r>
      <w:r>
        <w:rPr>
          <w:rFonts w:ascii="Times New Roman" w:hAnsi="Times New Roman" w:cs="Times New Roman"/>
          <w:sz w:val="20"/>
          <w:lang w:val="en-US"/>
        </w:rPr>
        <w:t xml:space="preserve">are as follows: </w:t>
      </w:r>
      <w:r w:rsidRPr="006027D3">
        <w:rPr>
          <w:rFonts w:ascii="Times New Roman" w:hAnsi="Times New Roman" w:cs="Times New Roman"/>
          <w:sz w:val="20"/>
          <w:lang w:val="en-US"/>
        </w:rPr>
        <w:t xml:space="preserve">Sustainability environmental sustainability </w:t>
      </w:r>
      <w:r>
        <w:rPr>
          <w:rFonts w:ascii="Times New Roman" w:hAnsi="Times New Roman" w:cs="Times New Roman"/>
          <w:sz w:val="20"/>
          <w:lang w:val="en-US"/>
        </w:rPr>
        <w:t xml:space="preserve">- </w:t>
      </w:r>
      <w:r w:rsidRPr="006027D3">
        <w:rPr>
          <w:rFonts w:ascii="Times New Roman" w:hAnsi="Times New Roman" w:cs="Times New Roman"/>
          <w:sz w:val="20"/>
          <w:lang w:val="en-US"/>
        </w:rPr>
        <w:t xml:space="preserve">0.57, </w:t>
      </w:r>
      <w:r>
        <w:rPr>
          <w:rFonts w:ascii="Times New Roman" w:hAnsi="Times New Roman" w:cs="Times New Roman"/>
          <w:sz w:val="20"/>
          <w:lang w:val="en-US"/>
        </w:rPr>
        <w:t>E</w:t>
      </w:r>
      <w:r w:rsidRPr="006027D3">
        <w:rPr>
          <w:rFonts w:ascii="Times New Roman" w:hAnsi="Times New Roman" w:cs="Times New Roman"/>
          <w:sz w:val="20"/>
          <w:lang w:val="en-US"/>
        </w:rPr>
        <w:t xml:space="preserve">nergy access and security </w:t>
      </w:r>
      <w:r>
        <w:rPr>
          <w:rFonts w:ascii="Times New Roman" w:hAnsi="Times New Roman" w:cs="Times New Roman"/>
          <w:sz w:val="20"/>
          <w:lang w:val="en-US"/>
        </w:rPr>
        <w:t xml:space="preserve">- </w:t>
      </w:r>
      <w:r w:rsidRPr="006027D3">
        <w:rPr>
          <w:rFonts w:ascii="Times New Roman" w:hAnsi="Times New Roman" w:cs="Times New Roman"/>
          <w:sz w:val="20"/>
          <w:lang w:val="en-US"/>
        </w:rPr>
        <w:t xml:space="preserve">0.70, </w:t>
      </w:r>
      <w:r>
        <w:rPr>
          <w:rFonts w:ascii="Times New Roman" w:hAnsi="Times New Roman" w:cs="Times New Roman"/>
          <w:sz w:val="20"/>
          <w:lang w:val="en-US"/>
        </w:rPr>
        <w:t>E</w:t>
      </w:r>
      <w:r w:rsidRPr="006027D3">
        <w:rPr>
          <w:rFonts w:ascii="Times New Roman" w:hAnsi="Times New Roman" w:cs="Times New Roman"/>
          <w:sz w:val="20"/>
          <w:lang w:val="en-US"/>
        </w:rPr>
        <w:t xml:space="preserve">conomic growth and development </w:t>
      </w:r>
      <w:r>
        <w:rPr>
          <w:rFonts w:ascii="Times New Roman" w:hAnsi="Times New Roman" w:cs="Times New Roman"/>
          <w:sz w:val="20"/>
          <w:lang w:val="en-US"/>
        </w:rPr>
        <w:t xml:space="preserve">- </w:t>
      </w:r>
      <w:r w:rsidRPr="006027D3">
        <w:rPr>
          <w:rFonts w:ascii="Times New Roman" w:hAnsi="Times New Roman" w:cs="Times New Roman"/>
          <w:sz w:val="20"/>
          <w:lang w:val="en-US"/>
        </w:rPr>
        <w:t>0.52</w:t>
      </w:r>
      <w:r>
        <w:rPr>
          <w:rFonts w:ascii="Times New Roman" w:hAnsi="Times New Roman" w:cs="Times New Roman"/>
          <w:sz w:val="20"/>
          <w:lang w:val="en-US"/>
        </w:rPr>
        <w:t>.</w:t>
      </w:r>
    </w:p>
    <w:p w:rsidR="00D17F7C" w:rsidRDefault="00565F9E" w:rsidP="00CD6FE2">
      <w:pPr>
        <w:ind w:firstLine="284"/>
        <w:jc w:val="center"/>
        <w:rPr>
          <w:rFonts w:asciiTheme="minorHAnsi" w:hAnsiTheme="minorHAnsi"/>
          <w:sz w:val="20"/>
          <w:lang w:val="ru-RU"/>
        </w:rPr>
      </w:pPr>
      <w:r w:rsidRPr="00565F9E">
        <w:rPr>
          <w:rFonts w:asciiTheme="minorHAnsi" w:hAnsiTheme="minorHAnsi"/>
          <w:noProof/>
          <w:sz w:val="20"/>
          <w:lang w:val="en-US" w:eastAsia="en-US"/>
        </w:rPr>
        <w:drawing>
          <wp:inline distT="0" distB="0" distL="0" distR="0">
            <wp:extent cx="2664000" cy="1910687"/>
            <wp:effectExtent l="0" t="0" r="0" b="0"/>
            <wp:docPr id="1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0445F" w:rsidRPr="007B3E69" w:rsidRDefault="0060445F" w:rsidP="002F741D">
      <w:pPr>
        <w:spacing w:before="170" w:after="170"/>
        <w:jc w:val="both"/>
        <w:rPr>
          <w:rFonts w:ascii="Times New Roman" w:hAnsi="Times New Roman"/>
          <w:sz w:val="18"/>
          <w:szCs w:val="18"/>
          <w:lang w:val="en-US"/>
        </w:rPr>
      </w:pPr>
      <w:r w:rsidRPr="00CA1091">
        <w:rPr>
          <w:rFonts w:ascii="Times New Roman" w:hAnsi="Times New Roman"/>
          <w:b/>
          <w:sz w:val="18"/>
          <w:szCs w:val="18"/>
          <w:lang w:val="en-GB"/>
        </w:rPr>
        <w:t>Fig</w:t>
      </w:r>
      <w:r>
        <w:rPr>
          <w:rFonts w:ascii="Times New Roman" w:hAnsi="Times New Roman"/>
          <w:b/>
          <w:sz w:val="18"/>
          <w:szCs w:val="18"/>
          <w:lang w:val="en-GB"/>
        </w:rPr>
        <w:t>.</w:t>
      </w:r>
      <w:r w:rsidRPr="00CA1091">
        <w:rPr>
          <w:rFonts w:ascii="Times New Roman" w:hAnsi="Times New Roman"/>
          <w:b/>
          <w:sz w:val="18"/>
          <w:szCs w:val="18"/>
          <w:lang w:val="en-GB"/>
        </w:rPr>
        <w:t xml:space="preserve"> </w:t>
      </w:r>
      <w:r>
        <w:rPr>
          <w:rFonts w:ascii="Times New Roman" w:hAnsi="Times New Roman"/>
          <w:b/>
          <w:sz w:val="18"/>
          <w:szCs w:val="18"/>
          <w:lang w:val="en-GB"/>
        </w:rPr>
        <w:t>5</w:t>
      </w:r>
      <w:r w:rsidRPr="00CA1091">
        <w:rPr>
          <w:rFonts w:ascii="Times New Roman" w:hAnsi="Times New Roman"/>
          <w:b/>
          <w:bCs/>
          <w:sz w:val="18"/>
          <w:szCs w:val="18"/>
          <w:lang w:val="en-GB"/>
        </w:rPr>
        <w:t>.</w:t>
      </w:r>
      <w:r w:rsidRPr="00CA1091">
        <w:rPr>
          <w:rFonts w:ascii="Times New Roman" w:hAnsi="Times New Roman"/>
          <w:sz w:val="18"/>
          <w:szCs w:val="18"/>
          <w:lang w:val="en-GB"/>
        </w:rPr>
        <w:t xml:space="preserve"> </w:t>
      </w:r>
      <w:r w:rsidRPr="007B3E69">
        <w:rPr>
          <w:rFonts w:ascii="Times New Roman" w:hAnsi="Times New Roman"/>
          <w:sz w:val="18"/>
          <w:szCs w:val="18"/>
          <w:lang w:val="en-GB"/>
        </w:rPr>
        <w:t>Energy</w:t>
      </w:r>
      <w:r w:rsidRPr="007B3E69">
        <w:rPr>
          <w:rFonts w:ascii="Times New Roman" w:hAnsi="Times New Roman"/>
          <w:sz w:val="18"/>
          <w:szCs w:val="18"/>
          <w:lang w:val="en-US"/>
        </w:rPr>
        <w:t xml:space="preserve"> </w:t>
      </w:r>
      <w:r w:rsidRPr="007B3E69">
        <w:rPr>
          <w:rFonts w:ascii="Times New Roman" w:hAnsi="Times New Roman"/>
          <w:sz w:val="18"/>
          <w:szCs w:val="18"/>
          <w:lang w:val="en-GB"/>
        </w:rPr>
        <w:t>Architecture</w:t>
      </w:r>
      <w:r w:rsidRPr="007B3E69">
        <w:rPr>
          <w:rFonts w:ascii="Times New Roman" w:hAnsi="Times New Roman"/>
          <w:sz w:val="18"/>
          <w:szCs w:val="18"/>
          <w:lang w:val="en-US"/>
        </w:rPr>
        <w:t xml:space="preserve"> </w:t>
      </w:r>
      <w:r w:rsidRPr="007B3E69">
        <w:rPr>
          <w:rFonts w:ascii="Times New Roman" w:hAnsi="Times New Roman"/>
          <w:sz w:val="18"/>
          <w:szCs w:val="18"/>
          <w:lang w:val="en-GB"/>
        </w:rPr>
        <w:t>Performance</w:t>
      </w:r>
      <w:r w:rsidRPr="007B3E69">
        <w:rPr>
          <w:rFonts w:ascii="Times New Roman" w:hAnsi="Times New Roman"/>
          <w:sz w:val="18"/>
          <w:szCs w:val="18"/>
          <w:lang w:val="en-US"/>
        </w:rPr>
        <w:t xml:space="preserve"> </w:t>
      </w:r>
      <w:r w:rsidRPr="007B3E69">
        <w:rPr>
          <w:rFonts w:ascii="Times New Roman" w:hAnsi="Times New Roman"/>
          <w:sz w:val="18"/>
          <w:szCs w:val="18"/>
          <w:lang w:val="en-GB"/>
        </w:rPr>
        <w:t>Index</w:t>
      </w:r>
      <w:r>
        <w:rPr>
          <w:rFonts w:ascii="Times New Roman" w:hAnsi="Times New Roman"/>
          <w:sz w:val="18"/>
          <w:szCs w:val="18"/>
          <w:lang w:val="en-GB"/>
        </w:rPr>
        <w:t xml:space="preserve"> of ASEAN</w:t>
      </w:r>
    </w:p>
    <w:p w:rsidR="006243D6" w:rsidRPr="006027D3" w:rsidRDefault="006027D3" w:rsidP="006243D6">
      <w:pPr>
        <w:ind w:firstLine="284"/>
        <w:jc w:val="both"/>
        <w:rPr>
          <w:rFonts w:ascii="Times New Roman" w:hAnsi="Times New Roman" w:cs="Times New Roman"/>
          <w:sz w:val="20"/>
          <w:lang w:val="en-US"/>
        </w:rPr>
      </w:pPr>
      <w:r w:rsidRPr="006027D3">
        <w:rPr>
          <w:rFonts w:ascii="Times New Roman" w:hAnsi="Times New Roman" w:cs="Times New Roman"/>
          <w:sz w:val="20"/>
          <w:lang w:val="en-US"/>
        </w:rPr>
        <w:t xml:space="preserve">In </w:t>
      </w:r>
      <w:r>
        <w:rPr>
          <w:rFonts w:ascii="Times New Roman" w:hAnsi="Times New Roman" w:cs="Times New Roman"/>
          <w:sz w:val="20"/>
          <w:lang w:val="en-US"/>
        </w:rPr>
        <w:t>g</w:t>
      </w:r>
      <w:r w:rsidRPr="006027D3">
        <w:rPr>
          <w:rFonts w:ascii="Times New Roman" w:hAnsi="Times New Roman" w:cs="Times New Roman"/>
          <w:sz w:val="20"/>
          <w:lang w:val="en-US"/>
        </w:rPr>
        <w:t xml:space="preserve">eneral, the energy </w:t>
      </w:r>
      <w:r>
        <w:rPr>
          <w:rFonts w:ascii="Times New Roman" w:hAnsi="Times New Roman" w:cs="Times New Roman"/>
          <w:sz w:val="20"/>
          <w:lang w:val="en-US"/>
        </w:rPr>
        <w:t xml:space="preserve">sector </w:t>
      </w:r>
      <w:r w:rsidR="002F0E98">
        <w:rPr>
          <w:rFonts w:ascii="Times New Roman" w:hAnsi="Times New Roman" w:cs="Times New Roman"/>
          <w:sz w:val="20"/>
          <w:lang w:val="en-US"/>
        </w:rPr>
        <w:t>performance</w:t>
      </w:r>
      <w:r>
        <w:rPr>
          <w:rFonts w:ascii="Times New Roman" w:hAnsi="Times New Roman" w:cs="Times New Roman"/>
          <w:sz w:val="20"/>
          <w:lang w:val="en-US"/>
        </w:rPr>
        <w:t xml:space="preserve"> </w:t>
      </w:r>
      <w:r w:rsidRPr="006027D3">
        <w:rPr>
          <w:rFonts w:ascii="Times New Roman" w:hAnsi="Times New Roman" w:cs="Times New Roman"/>
          <w:sz w:val="20"/>
          <w:lang w:val="en-US"/>
        </w:rPr>
        <w:t>efficiency for the ASEAN countries increased by 11</w:t>
      </w:r>
      <w:r>
        <w:rPr>
          <w:rFonts w:ascii="Times New Roman" w:hAnsi="Times New Roman" w:cs="Times New Roman"/>
          <w:sz w:val="20"/>
          <w:lang w:val="en-US"/>
        </w:rPr>
        <w:t>%</w:t>
      </w:r>
      <w:r w:rsidRPr="006027D3">
        <w:rPr>
          <w:rFonts w:ascii="Times New Roman" w:hAnsi="Times New Roman" w:cs="Times New Roman"/>
          <w:sz w:val="20"/>
          <w:lang w:val="en-US"/>
        </w:rPr>
        <w:t xml:space="preserve"> compared to 2013</w:t>
      </w:r>
      <w:r>
        <w:rPr>
          <w:rFonts w:ascii="Times New Roman" w:hAnsi="Times New Roman" w:cs="Times New Roman"/>
          <w:sz w:val="20"/>
          <w:lang w:val="en-US"/>
        </w:rPr>
        <w:t>.</w:t>
      </w:r>
    </w:p>
    <w:p w:rsidR="00F65E82" w:rsidRPr="00A53935" w:rsidRDefault="00A53935" w:rsidP="00BB7FFD">
      <w:pPr>
        <w:spacing w:after="170"/>
        <w:ind w:firstLine="284"/>
        <w:jc w:val="both"/>
        <w:rPr>
          <w:rFonts w:ascii="Times New Roman" w:hAnsi="Times New Roman" w:cs="Times New Roman"/>
          <w:bCs/>
          <w:sz w:val="20"/>
          <w:lang w:val="en-US"/>
        </w:rPr>
      </w:pPr>
      <w:r w:rsidRPr="00A53935">
        <w:rPr>
          <w:rFonts w:ascii="Times New Roman" w:hAnsi="Times New Roman" w:cs="Times New Roman"/>
          <w:bCs/>
          <w:sz w:val="20"/>
          <w:lang w:val="en-US"/>
        </w:rPr>
        <w:t xml:space="preserve">Among the 7 regions considered, the most significant growth in the Economic growth and development and Energy access and security subsystems of effective energy </w:t>
      </w:r>
      <w:r>
        <w:rPr>
          <w:rFonts w:ascii="Times New Roman" w:hAnsi="Times New Roman" w:cs="Times New Roman"/>
          <w:bCs/>
          <w:sz w:val="20"/>
          <w:lang w:val="en-US"/>
        </w:rPr>
        <w:t xml:space="preserve">sector </w:t>
      </w:r>
      <w:r w:rsidR="002F0E98">
        <w:rPr>
          <w:rFonts w:ascii="Times New Roman" w:hAnsi="Times New Roman" w:cs="Times New Roman"/>
          <w:bCs/>
          <w:sz w:val="20"/>
          <w:lang w:val="en-US"/>
        </w:rPr>
        <w:t>performance</w:t>
      </w:r>
      <w:r w:rsidRPr="00A53935">
        <w:rPr>
          <w:rFonts w:ascii="Times New Roman" w:hAnsi="Times New Roman" w:cs="Times New Roman"/>
          <w:bCs/>
          <w:sz w:val="20"/>
          <w:lang w:val="en-US"/>
        </w:rPr>
        <w:t xml:space="preserve"> is observed in </w:t>
      </w:r>
      <w:r w:rsidR="00D0625E">
        <w:rPr>
          <w:rFonts w:ascii="Times New Roman" w:hAnsi="Times New Roman" w:cs="Times New Roman"/>
          <w:bCs/>
          <w:sz w:val="20"/>
          <w:lang w:val="en-US"/>
        </w:rPr>
        <w:t xml:space="preserve">the </w:t>
      </w:r>
      <w:r w:rsidRPr="00A53935">
        <w:rPr>
          <w:rFonts w:ascii="Times New Roman" w:hAnsi="Times New Roman" w:cs="Times New Roman"/>
          <w:bCs/>
          <w:sz w:val="20"/>
          <w:lang w:val="en-US"/>
        </w:rPr>
        <w:t>Sub-Saharan Africa</w:t>
      </w:r>
      <w:r w:rsidR="00D0625E">
        <w:rPr>
          <w:rFonts w:ascii="Times New Roman" w:hAnsi="Times New Roman" w:cs="Times New Roman"/>
          <w:bCs/>
          <w:sz w:val="20"/>
          <w:lang w:val="en-US"/>
        </w:rPr>
        <w:t xml:space="preserve"> countries</w:t>
      </w:r>
      <w:r w:rsidRPr="00A53935">
        <w:rPr>
          <w:rFonts w:ascii="Times New Roman" w:hAnsi="Times New Roman" w:cs="Times New Roman"/>
          <w:bCs/>
          <w:sz w:val="20"/>
          <w:lang w:val="en-US"/>
        </w:rPr>
        <w:t xml:space="preserve">, </w:t>
      </w:r>
      <w:r w:rsidR="00D0625E">
        <w:rPr>
          <w:rFonts w:ascii="Times New Roman" w:hAnsi="Times New Roman" w:cs="Times New Roman"/>
          <w:bCs/>
          <w:sz w:val="20"/>
          <w:lang w:val="en-US"/>
        </w:rPr>
        <w:t>24% and 33%</w:t>
      </w:r>
      <w:r w:rsidRPr="00A53935">
        <w:rPr>
          <w:rFonts w:ascii="Times New Roman" w:hAnsi="Times New Roman" w:cs="Times New Roman"/>
          <w:bCs/>
          <w:sz w:val="20"/>
          <w:lang w:val="en-US"/>
        </w:rPr>
        <w:t xml:space="preserve"> </w:t>
      </w:r>
      <w:r w:rsidR="00D0625E" w:rsidRPr="00A53935">
        <w:rPr>
          <w:rFonts w:ascii="Times New Roman" w:hAnsi="Times New Roman" w:cs="Times New Roman"/>
          <w:bCs/>
          <w:sz w:val="20"/>
          <w:lang w:val="en-US"/>
        </w:rPr>
        <w:t>respectively</w:t>
      </w:r>
      <w:r w:rsidR="00D0625E">
        <w:rPr>
          <w:rFonts w:ascii="Times New Roman" w:hAnsi="Times New Roman" w:cs="Times New Roman"/>
          <w:bCs/>
          <w:sz w:val="20"/>
          <w:lang w:val="en-US"/>
        </w:rPr>
        <w:t>.</w:t>
      </w:r>
      <w:r w:rsidR="00D0625E" w:rsidRPr="00A53935">
        <w:rPr>
          <w:rFonts w:ascii="Times New Roman" w:hAnsi="Times New Roman" w:cs="Times New Roman"/>
          <w:bCs/>
          <w:sz w:val="20"/>
          <w:lang w:val="en-US"/>
        </w:rPr>
        <w:t xml:space="preserve"> </w:t>
      </w:r>
      <w:r w:rsidR="00D0625E">
        <w:rPr>
          <w:rFonts w:ascii="Times New Roman" w:hAnsi="Times New Roman" w:cs="Times New Roman"/>
          <w:bCs/>
          <w:sz w:val="20"/>
          <w:lang w:val="en-US"/>
        </w:rPr>
        <w:t>At the same time</w:t>
      </w:r>
      <w:r w:rsidRPr="00A53935">
        <w:rPr>
          <w:rFonts w:ascii="Times New Roman" w:hAnsi="Times New Roman" w:cs="Times New Roman"/>
          <w:bCs/>
          <w:sz w:val="20"/>
          <w:lang w:val="en-US"/>
        </w:rPr>
        <w:t xml:space="preserve">, the </w:t>
      </w:r>
      <w:r w:rsidR="00D0625E">
        <w:rPr>
          <w:rFonts w:ascii="Times New Roman" w:hAnsi="Times New Roman" w:cs="Times New Roman"/>
          <w:sz w:val="20"/>
          <w:lang w:val="en-US"/>
        </w:rPr>
        <w:t xml:space="preserve">subsystem values themselves </w:t>
      </w:r>
      <w:r w:rsidRPr="00A53935">
        <w:rPr>
          <w:rFonts w:ascii="Times New Roman" w:hAnsi="Times New Roman" w:cs="Times New Roman"/>
          <w:bCs/>
          <w:sz w:val="20"/>
          <w:lang w:val="en-US"/>
        </w:rPr>
        <w:t xml:space="preserve">in </w:t>
      </w:r>
      <w:r w:rsidR="00D0625E">
        <w:rPr>
          <w:rFonts w:ascii="Times New Roman" w:hAnsi="Times New Roman" w:cs="Times New Roman"/>
          <w:bCs/>
          <w:sz w:val="20"/>
          <w:lang w:val="en-US"/>
        </w:rPr>
        <w:t xml:space="preserve">the </w:t>
      </w:r>
      <w:r w:rsidRPr="00A53935">
        <w:rPr>
          <w:rFonts w:ascii="Times New Roman" w:hAnsi="Times New Roman" w:cs="Times New Roman"/>
          <w:bCs/>
          <w:sz w:val="20"/>
          <w:lang w:val="en-US"/>
        </w:rPr>
        <w:t xml:space="preserve">Sub-Saharan Africa </w:t>
      </w:r>
      <w:r w:rsidR="00D0625E">
        <w:rPr>
          <w:rFonts w:ascii="Times New Roman" w:hAnsi="Times New Roman" w:cs="Times New Roman"/>
          <w:bCs/>
          <w:sz w:val="20"/>
          <w:lang w:val="en-US"/>
        </w:rPr>
        <w:t xml:space="preserve">countries </w:t>
      </w:r>
      <w:r w:rsidRPr="00A53935">
        <w:rPr>
          <w:rFonts w:ascii="Times New Roman" w:hAnsi="Times New Roman" w:cs="Times New Roman"/>
          <w:bCs/>
          <w:sz w:val="20"/>
          <w:lang w:val="en-US"/>
        </w:rPr>
        <w:t xml:space="preserve">are still low compared </w:t>
      </w:r>
      <w:r w:rsidR="00D0625E">
        <w:rPr>
          <w:rFonts w:ascii="Times New Roman" w:hAnsi="Times New Roman" w:cs="Times New Roman"/>
          <w:bCs/>
          <w:sz w:val="20"/>
          <w:lang w:val="en-US"/>
        </w:rPr>
        <w:t>to other regions, 0.47 and 0.39</w:t>
      </w:r>
      <w:r w:rsidRPr="00A53935">
        <w:rPr>
          <w:rFonts w:ascii="Times New Roman" w:hAnsi="Times New Roman" w:cs="Times New Roman"/>
          <w:bCs/>
          <w:sz w:val="20"/>
          <w:lang w:val="en-US"/>
        </w:rPr>
        <w:t xml:space="preserve"> respectively (Fig. 6).</w:t>
      </w:r>
    </w:p>
    <w:p w:rsidR="00F65E82" w:rsidRPr="00A53935" w:rsidRDefault="00F65E82" w:rsidP="005663AD">
      <w:pPr>
        <w:jc w:val="both"/>
        <w:rPr>
          <w:rFonts w:asciiTheme="minorHAnsi" w:hAnsiTheme="minorHAnsi"/>
          <w:sz w:val="20"/>
          <w:lang w:val="en-US"/>
        </w:rPr>
      </w:pPr>
    </w:p>
    <w:p w:rsidR="006243D6" w:rsidRDefault="00565F9E" w:rsidP="005663AD">
      <w:pPr>
        <w:jc w:val="both"/>
        <w:rPr>
          <w:rFonts w:asciiTheme="minorHAnsi" w:hAnsiTheme="minorHAnsi"/>
          <w:sz w:val="20"/>
          <w:lang w:val="ru-RU"/>
        </w:rPr>
      </w:pPr>
      <w:r w:rsidRPr="00565F9E">
        <w:rPr>
          <w:rFonts w:asciiTheme="minorHAnsi" w:hAnsiTheme="minorHAnsi"/>
          <w:noProof/>
          <w:sz w:val="20"/>
          <w:lang w:val="en-US" w:eastAsia="en-US"/>
        </w:rPr>
        <w:lastRenderedPageBreak/>
        <w:drawing>
          <wp:inline distT="0" distB="0" distL="0" distR="0">
            <wp:extent cx="2664000" cy="1910687"/>
            <wp:effectExtent l="0" t="0" r="0" b="0"/>
            <wp:docPr id="1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0445F" w:rsidRPr="007B3E69" w:rsidRDefault="0060445F" w:rsidP="00BB7FFD">
      <w:pPr>
        <w:spacing w:before="170" w:after="170"/>
        <w:jc w:val="both"/>
        <w:rPr>
          <w:rFonts w:ascii="Times New Roman" w:hAnsi="Times New Roman"/>
          <w:sz w:val="18"/>
          <w:szCs w:val="18"/>
          <w:lang w:val="en-US"/>
        </w:rPr>
      </w:pPr>
      <w:r w:rsidRPr="00CA1091">
        <w:rPr>
          <w:rFonts w:ascii="Times New Roman" w:hAnsi="Times New Roman"/>
          <w:b/>
          <w:sz w:val="18"/>
          <w:szCs w:val="18"/>
          <w:lang w:val="en-GB"/>
        </w:rPr>
        <w:t>Fig</w:t>
      </w:r>
      <w:r>
        <w:rPr>
          <w:rFonts w:ascii="Times New Roman" w:hAnsi="Times New Roman"/>
          <w:b/>
          <w:sz w:val="18"/>
          <w:szCs w:val="18"/>
          <w:lang w:val="en-GB"/>
        </w:rPr>
        <w:t>.</w:t>
      </w:r>
      <w:r w:rsidRPr="00CA1091">
        <w:rPr>
          <w:rFonts w:ascii="Times New Roman" w:hAnsi="Times New Roman"/>
          <w:b/>
          <w:sz w:val="18"/>
          <w:szCs w:val="18"/>
          <w:lang w:val="en-GB"/>
        </w:rPr>
        <w:t xml:space="preserve"> </w:t>
      </w:r>
      <w:r>
        <w:rPr>
          <w:rFonts w:ascii="Times New Roman" w:hAnsi="Times New Roman"/>
          <w:b/>
          <w:sz w:val="18"/>
          <w:szCs w:val="18"/>
          <w:lang w:val="en-GB"/>
        </w:rPr>
        <w:t>6</w:t>
      </w:r>
      <w:r w:rsidRPr="00CA1091">
        <w:rPr>
          <w:rFonts w:ascii="Times New Roman" w:hAnsi="Times New Roman"/>
          <w:b/>
          <w:bCs/>
          <w:sz w:val="18"/>
          <w:szCs w:val="18"/>
          <w:lang w:val="en-GB"/>
        </w:rPr>
        <w:t>.</w:t>
      </w:r>
      <w:r w:rsidRPr="00CA1091">
        <w:rPr>
          <w:rFonts w:ascii="Times New Roman" w:hAnsi="Times New Roman"/>
          <w:sz w:val="18"/>
          <w:szCs w:val="18"/>
          <w:lang w:val="en-GB"/>
        </w:rPr>
        <w:t xml:space="preserve"> </w:t>
      </w:r>
      <w:r w:rsidRPr="007B3E69">
        <w:rPr>
          <w:rFonts w:ascii="Times New Roman" w:hAnsi="Times New Roman"/>
          <w:sz w:val="18"/>
          <w:szCs w:val="18"/>
          <w:lang w:val="en-GB"/>
        </w:rPr>
        <w:t>Energy</w:t>
      </w:r>
      <w:r w:rsidRPr="007B3E69">
        <w:rPr>
          <w:rFonts w:ascii="Times New Roman" w:hAnsi="Times New Roman"/>
          <w:sz w:val="18"/>
          <w:szCs w:val="18"/>
          <w:lang w:val="en-US"/>
        </w:rPr>
        <w:t xml:space="preserve"> </w:t>
      </w:r>
      <w:r w:rsidRPr="007B3E69">
        <w:rPr>
          <w:rFonts w:ascii="Times New Roman" w:hAnsi="Times New Roman"/>
          <w:sz w:val="18"/>
          <w:szCs w:val="18"/>
          <w:lang w:val="en-GB"/>
        </w:rPr>
        <w:t>Architecture</w:t>
      </w:r>
      <w:r w:rsidRPr="007B3E69">
        <w:rPr>
          <w:rFonts w:ascii="Times New Roman" w:hAnsi="Times New Roman"/>
          <w:sz w:val="18"/>
          <w:szCs w:val="18"/>
          <w:lang w:val="en-US"/>
        </w:rPr>
        <w:t xml:space="preserve"> </w:t>
      </w:r>
      <w:r w:rsidRPr="007B3E69">
        <w:rPr>
          <w:rFonts w:ascii="Times New Roman" w:hAnsi="Times New Roman"/>
          <w:sz w:val="18"/>
          <w:szCs w:val="18"/>
          <w:lang w:val="en-GB"/>
        </w:rPr>
        <w:t>Performance</w:t>
      </w:r>
      <w:r w:rsidRPr="007B3E69">
        <w:rPr>
          <w:rFonts w:ascii="Times New Roman" w:hAnsi="Times New Roman"/>
          <w:sz w:val="18"/>
          <w:szCs w:val="18"/>
          <w:lang w:val="en-US"/>
        </w:rPr>
        <w:t xml:space="preserve"> </w:t>
      </w:r>
      <w:r w:rsidRPr="007B3E69">
        <w:rPr>
          <w:rFonts w:ascii="Times New Roman" w:hAnsi="Times New Roman"/>
          <w:sz w:val="18"/>
          <w:szCs w:val="18"/>
          <w:lang w:val="en-GB"/>
        </w:rPr>
        <w:t>Index</w:t>
      </w:r>
      <w:r>
        <w:rPr>
          <w:rFonts w:ascii="Times New Roman" w:hAnsi="Times New Roman"/>
          <w:sz w:val="18"/>
          <w:szCs w:val="18"/>
          <w:lang w:val="en-GB"/>
        </w:rPr>
        <w:t xml:space="preserve"> of Sub-Saharan Africa</w:t>
      </w:r>
    </w:p>
    <w:p w:rsidR="00F65E82" w:rsidRPr="00107C21" w:rsidRDefault="00107C21" w:rsidP="00F65E82">
      <w:pPr>
        <w:ind w:firstLine="284"/>
        <w:jc w:val="both"/>
        <w:rPr>
          <w:rFonts w:ascii="Times New Roman" w:hAnsi="Times New Roman" w:cs="Times New Roman"/>
          <w:sz w:val="20"/>
          <w:lang w:val="en-US"/>
        </w:rPr>
      </w:pPr>
      <w:r>
        <w:rPr>
          <w:rFonts w:ascii="Times New Roman" w:hAnsi="Times New Roman" w:cs="Times New Roman"/>
          <w:sz w:val="20"/>
          <w:lang w:val="en-US"/>
        </w:rPr>
        <w:t>On the whole</w:t>
      </w:r>
      <w:r w:rsidRPr="00107C21">
        <w:rPr>
          <w:rFonts w:ascii="Times New Roman" w:hAnsi="Times New Roman" w:cs="Times New Roman"/>
          <w:sz w:val="20"/>
          <w:lang w:val="en-US"/>
        </w:rPr>
        <w:t xml:space="preserve">, the energy </w:t>
      </w:r>
      <w:r>
        <w:rPr>
          <w:rFonts w:ascii="Times New Roman" w:hAnsi="Times New Roman" w:cs="Times New Roman"/>
          <w:sz w:val="20"/>
          <w:lang w:val="en-US"/>
        </w:rPr>
        <w:t xml:space="preserve">sector </w:t>
      </w:r>
      <w:r w:rsidR="00906114">
        <w:rPr>
          <w:rFonts w:ascii="Times New Roman" w:hAnsi="Times New Roman" w:cs="Times New Roman"/>
          <w:sz w:val="20"/>
          <w:lang w:val="en-US"/>
        </w:rPr>
        <w:t xml:space="preserve">performance </w:t>
      </w:r>
      <w:r w:rsidRPr="00107C21">
        <w:rPr>
          <w:rFonts w:ascii="Times New Roman" w:hAnsi="Times New Roman" w:cs="Times New Roman"/>
          <w:sz w:val="20"/>
          <w:lang w:val="en-US"/>
        </w:rPr>
        <w:t xml:space="preserve">efficiency in </w:t>
      </w:r>
      <w:r>
        <w:rPr>
          <w:rFonts w:ascii="Times New Roman" w:hAnsi="Times New Roman" w:cs="Times New Roman"/>
          <w:sz w:val="20"/>
          <w:lang w:val="en-US"/>
        </w:rPr>
        <w:t xml:space="preserve">the </w:t>
      </w:r>
      <w:r w:rsidRPr="00107C21">
        <w:rPr>
          <w:rFonts w:ascii="Times New Roman" w:hAnsi="Times New Roman" w:cs="Times New Roman"/>
          <w:sz w:val="20"/>
          <w:lang w:val="en-US"/>
        </w:rPr>
        <w:t xml:space="preserve">Sub-Saharan Africa </w:t>
      </w:r>
      <w:r>
        <w:rPr>
          <w:rFonts w:ascii="Times New Roman" w:hAnsi="Times New Roman" w:cs="Times New Roman"/>
          <w:sz w:val="20"/>
          <w:lang w:val="en-US"/>
        </w:rPr>
        <w:t xml:space="preserve">countries </w:t>
      </w:r>
      <w:r w:rsidRPr="00107C21">
        <w:rPr>
          <w:rFonts w:ascii="Times New Roman" w:hAnsi="Times New Roman" w:cs="Times New Roman"/>
          <w:sz w:val="20"/>
          <w:lang w:val="en-US"/>
        </w:rPr>
        <w:t xml:space="preserve">also has the highest indicator among 7 regions, </w:t>
      </w:r>
      <w:r w:rsidR="00C67A77">
        <w:rPr>
          <w:rFonts w:ascii="Times New Roman" w:hAnsi="Times New Roman" w:cs="Times New Roman"/>
          <w:sz w:val="20"/>
          <w:lang w:val="en-US"/>
        </w:rPr>
        <w:t>which</w:t>
      </w:r>
      <w:r w:rsidRPr="00107C21">
        <w:rPr>
          <w:rFonts w:ascii="Times New Roman" w:hAnsi="Times New Roman" w:cs="Times New Roman"/>
          <w:sz w:val="20"/>
          <w:lang w:val="en-US"/>
        </w:rPr>
        <w:t xml:space="preserve"> has increased by 20% compared to 2013</w:t>
      </w:r>
      <w:r>
        <w:rPr>
          <w:rFonts w:ascii="Times New Roman" w:hAnsi="Times New Roman" w:cs="Times New Roman"/>
          <w:sz w:val="20"/>
          <w:lang w:val="en-US"/>
        </w:rPr>
        <w:t>.</w:t>
      </w:r>
    </w:p>
    <w:p w:rsidR="00582971" w:rsidRPr="00FB0ECF" w:rsidRDefault="00FB0ECF" w:rsidP="00BB7FFD">
      <w:pPr>
        <w:spacing w:after="170"/>
        <w:ind w:firstLine="284"/>
        <w:jc w:val="both"/>
        <w:rPr>
          <w:rFonts w:ascii="Times New Roman" w:hAnsi="Times New Roman" w:cs="Times New Roman"/>
          <w:sz w:val="20"/>
          <w:lang w:val="en-US"/>
        </w:rPr>
      </w:pPr>
      <w:r w:rsidRPr="00FB0ECF">
        <w:rPr>
          <w:rFonts w:ascii="Times New Roman" w:hAnsi="Times New Roman" w:cs="Times New Roman"/>
          <w:sz w:val="20"/>
          <w:lang w:val="en-US"/>
        </w:rPr>
        <w:t xml:space="preserve">In CIS countries, as </w:t>
      </w:r>
      <w:r>
        <w:rPr>
          <w:rFonts w:ascii="Times New Roman" w:hAnsi="Times New Roman" w:cs="Times New Roman"/>
          <w:sz w:val="20"/>
          <w:lang w:val="en-US"/>
        </w:rPr>
        <w:t>is obvious from F</w:t>
      </w:r>
      <w:r w:rsidRPr="00FB0ECF">
        <w:rPr>
          <w:rFonts w:ascii="Times New Roman" w:hAnsi="Times New Roman" w:cs="Times New Roman"/>
          <w:sz w:val="20"/>
          <w:lang w:val="en-US"/>
        </w:rPr>
        <w:t>igure 7, there is relatively small but steady growth i</w:t>
      </w:r>
      <w:r>
        <w:rPr>
          <w:rFonts w:ascii="Times New Roman" w:hAnsi="Times New Roman" w:cs="Times New Roman"/>
          <w:sz w:val="20"/>
          <w:lang w:val="en-US"/>
        </w:rPr>
        <w:t>n all subsystems. In 2014</w:t>
      </w:r>
      <w:r w:rsidRPr="00FB0ECF">
        <w:rPr>
          <w:rFonts w:ascii="Times New Roman" w:hAnsi="Times New Roman" w:cs="Times New Roman"/>
          <w:sz w:val="20"/>
          <w:lang w:val="en-US"/>
        </w:rPr>
        <w:t xml:space="preserve"> a significant decline </w:t>
      </w:r>
      <w:r>
        <w:rPr>
          <w:rFonts w:ascii="Times New Roman" w:hAnsi="Times New Roman" w:cs="Times New Roman"/>
          <w:sz w:val="20"/>
          <w:lang w:val="en-US"/>
        </w:rPr>
        <w:t xml:space="preserve">of the value to 0.48 happened </w:t>
      </w:r>
      <w:r w:rsidRPr="00FB0ECF">
        <w:rPr>
          <w:rFonts w:ascii="Times New Roman" w:hAnsi="Times New Roman" w:cs="Times New Roman"/>
          <w:sz w:val="20"/>
          <w:lang w:val="en-US"/>
        </w:rPr>
        <w:t xml:space="preserve">in </w:t>
      </w:r>
      <w:r>
        <w:rPr>
          <w:rFonts w:ascii="Times New Roman" w:hAnsi="Times New Roman" w:cs="Times New Roman"/>
          <w:sz w:val="20"/>
          <w:lang w:val="en-US"/>
        </w:rPr>
        <w:t>the E</w:t>
      </w:r>
      <w:r w:rsidRPr="00FB0ECF">
        <w:rPr>
          <w:rFonts w:ascii="Times New Roman" w:hAnsi="Times New Roman" w:cs="Times New Roman"/>
          <w:sz w:val="20"/>
          <w:lang w:val="en-US"/>
        </w:rPr>
        <w:t>nvironmental sustainability subsystem, and s</w:t>
      </w:r>
      <w:r>
        <w:rPr>
          <w:rFonts w:ascii="Times New Roman" w:hAnsi="Times New Roman" w:cs="Times New Roman"/>
          <w:sz w:val="20"/>
          <w:lang w:val="en-US"/>
        </w:rPr>
        <w:t>ome decline also has occurred in the E</w:t>
      </w:r>
      <w:r w:rsidRPr="00FB0ECF">
        <w:rPr>
          <w:rFonts w:ascii="Times New Roman" w:hAnsi="Times New Roman" w:cs="Times New Roman"/>
          <w:sz w:val="20"/>
          <w:lang w:val="en-US"/>
        </w:rPr>
        <w:t xml:space="preserve">conomic growth and development subsystem to 0.36, which led to </w:t>
      </w:r>
      <w:r>
        <w:rPr>
          <w:rFonts w:ascii="Times New Roman" w:hAnsi="Times New Roman" w:cs="Times New Roman"/>
          <w:sz w:val="20"/>
          <w:lang w:val="en-US"/>
        </w:rPr>
        <w:t>the</w:t>
      </w:r>
      <w:r w:rsidRPr="00FB0ECF">
        <w:rPr>
          <w:rFonts w:ascii="Times New Roman" w:hAnsi="Times New Roman" w:cs="Times New Roman"/>
          <w:sz w:val="20"/>
          <w:lang w:val="en-US"/>
        </w:rPr>
        <w:t xml:space="preserve"> decrease in the score to 0.51</w:t>
      </w:r>
      <w:r>
        <w:rPr>
          <w:rFonts w:ascii="Times New Roman" w:hAnsi="Times New Roman" w:cs="Times New Roman"/>
          <w:sz w:val="20"/>
          <w:lang w:val="en-US"/>
        </w:rPr>
        <w:t>.</w:t>
      </w:r>
    </w:p>
    <w:p w:rsidR="00691327" w:rsidRDefault="00565F9E" w:rsidP="005663AD">
      <w:pPr>
        <w:jc w:val="both"/>
        <w:rPr>
          <w:rFonts w:asciiTheme="minorHAnsi" w:hAnsiTheme="minorHAnsi"/>
          <w:sz w:val="20"/>
          <w:lang w:val="ru-RU"/>
        </w:rPr>
      </w:pPr>
      <w:r w:rsidRPr="00565F9E">
        <w:rPr>
          <w:rFonts w:asciiTheme="minorHAnsi" w:hAnsiTheme="minorHAnsi"/>
          <w:noProof/>
          <w:sz w:val="20"/>
          <w:lang w:val="en-US" w:eastAsia="en-US"/>
        </w:rPr>
        <w:drawing>
          <wp:inline distT="0" distB="0" distL="0" distR="0">
            <wp:extent cx="2664000" cy="1910687"/>
            <wp:effectExtent l="0" t="0" r="0" b="0"/>
            <wp:docPr id="16"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0445F" w:rsidRPr="007B3E69" w:rsidRDefault="0060445F" w:rsidP="00BB7FFD">
      <w:pPr>
        <w:spacing w:before="170" w:after="170"/>
        <w:jc w:val="both"/>
        <w:rPr>
          <w:rFonts w:ascii="Times New Roman" w:hAnsi="Times New Roman"/>
          <w:sz w:val="18"/>
          <w:szCs w:val="18"/>
          <w:lang w:val="en-US"/>
        </w:rPr>
      </w:pPr>
      <w:r w:rsidRPr="00CA1091">
        <w:rPr>
          <w:rFonts w:ascii="Times New Roman" w:hAnsi="Times New Roman"/>
          <w:b/>
          <w:sz w:val="18"/>
          <w:szCs w:val="18"/>
          <w:lang w:val="en-GB"/>
        </w:rPr>
        <w:t>Fig</w:t>
      </w:r>
      <w:r>
        <w:rPr>
          <w:rFonts w:ascii="Times New Roman" w:hAnsi="Times New Roman"/>
          <w:b/>
          <w:sz w:val="18"/>
          <w:szCs w:val="18"/>
          <w:lang w:val="en-GB"/>
        </w:rPr>
        <w:t>.</w:t>
      </w:r>
      <w:r w:rsidRPr="00CA1091">
        <w:rPr>
          <w:rFonts w:ascii="Times New Roman" w:hAnsi="Times New Roman"/>
          <w:b/>
          <w:sz w:val="18"/>
          <w:szCs w:val="18"/>
          <w:lang w:val="en-GB"/>
        </w:rPr>
        <w:t xml:space="preserve"> </w:t>
      </w:r>
      <w:r>
        <w:rPr>
          <w:rFonts w:ascii="Times New Roman" w:hAnsi="Times New Roman"/>
          <w:b/>
          <w:sz w:val="18"/>
          <w:szCs w:val="18"/>
          <w:lang w:val="en-GB"/>
        </w:rPr>
        <w:t>7</w:t>
      </w:r>
      <w:r w:rsidRPr="00CA1091">
        <w:rPr>
          <w:rFonts w:ascii="Times New Roman" w:hAnsi="Times New Roman"/>
          <w:b/>
          <w:bCs/>
          <w:sz w:val="18"/>
          <w:szCs w:val="18"/>
          <w:lang w:val="en-GB"/>
        </w:rPr>
        <w:t>.</w:t>
      </w:r>
      <w:r w:rsidRPr="00CA1091">
        <w:rPr>
          <w:rFonts w:ascii="Times New Roman" w:hAnsi="Times New Roman"/>
          <w:sz w:val="18"/>
          <w:szCs w:val="18"/>
          <w:lang w:val="en-GB"/>
        </w:rPr>
        <w:t xml:space="preserve"> </w:t>
      </w:r>
      <w:r w:rsidRPr="007B3E69">
        <w:rPr>
          <w:rFonts w:ascii="Times New Roman" w:hAnsi="Times New Roman"/>
          <w:sz w:val="18"/>
          <w:szCs w:val="18"/>
          <w:lang w:val="en-GB"/>
        </w:rPr>
        <w:t>Energy</w:t>
      </w:r>
      <w:r w:rsidRPr="007B3E69">
        <w:rPr>
          <w:rFonts w:ascii="Times New Roman" w:hAnsi="Times New Roman"/>
          <w:sz w:val="18"/>
          <w:szCs w:val="18"/>
          <w:lang w:val="en-US"/>
        </w:rPr>
        <w:t xml:space="preserve"> </w:t>
      </w:r>
      <w:r w:rsidRPr="007B3E69">
        <w:rPr>
          <w:rFonts w:ascii="Times New Roman" w:hAnsi="Times New Roman"/>
          <w:sz w:val="18"/>
          <w:szCs w:val="18"/>
          <w:lang w:val="en-GB"/>
        </w:rPr>
        <w:t>Architecture</w:t>
      </w:r>
      <w:r w:rsidRPr="007B3E69">
        <w:rPr>
          <w:rFonts w:ascii="Times New Roman" w:hAnsi="Times New Roman"/>
          <w:sz w:val="18"/>
          <w:szCs w:val="18"/>
          <w:lang w:val="en-US"/>
        </w:rPr>
        <w:t xml:space="preserve"> </w:t>
      </w:r>
      <w:r w:rsidRPr="007B3E69">
        <w:rPr>
          <w:rFonts w:ascii="Times New Roman" w:hAnsi="Times New Roman"/>
          <w:sz w:val="18"/>
          <w:szCs w:val="18"/>
          <w:lang w:val="en-GB"/>
        </w:rPr>
        <w:t>Performance</w:t>
      </w:r>
      <w:r w:rsidRPr="007B3E69">
        <w:rPr>
          <w:rFonts w:ascii="Times New Roman" w:hAnsi="Times New Roman"/>
          <w:sz w:val="18"/>
          <w:szCs w:val="18"/>
          <w:lang w:val="en-US"/>
        </w:rPr>
        <w:t xml:space="preserve"> </w:t>
      </w:r>
      <w:r w:rsidRPr="007B3E69">
        <w:rPr>
          <w:rFonts w:ascii="Times New Roman" w:hAnsi="Times New Roman"/>
          <w:sz w:val="18"/>
          <w:szCs w:val="18"/>
          <w:lang w:val="en-GB"/>
        </w:rPr>
        <w:t>Index</w:t>
      </w:r>
      <w:r>
        <w:rPr>
          <w:rFonts w:ascii="Times New Roman" w:hAnsi="Times New Roman"/>
          <w:sz w:val="18"/>
          <w:szCs w:val="18"/>
          <w:lang w:val="en-GB"/>
        </w:rPr>
        <w:t xml:space="preserve"> of CIS</w:t>
      </w:r>
    </w:p>
    <w:p w:rsidR="00D17C4F" w:rsidRPr="0072565A" w:rsidRDefault="00DA532E" w:rsidP="00D17C4F">
      <w:pPr>
        <w:ind w:firstLine="284"/>
        <w:jc w:val="both"/>
        <w:rPr>
          <w:rFonts w:ascii="Times New Roman" w:hAnsi="Times New Roman" w:cs="Times New Roman"/>
          <w:sz w:val="20"/>
          <w:lang w:val="en-GB"/>
        </w:rPr>
      </w:pPr>
      <w:r w:rsidRPr="00DA532E">
        <w:rPr>
          <w:rFonts w:ascii="Times New Roman" w:hAnsi="Times New Roman" w:cs="Times New Roman"/>
          <w:sz w:val="20"/>
          <w:lang w:val="en-GB"/>
        </w:rPr>
        <w:t xml:space="preserve">The values </w:t>
      </w:r>
      <w:r>
        <w:rPr>
          <w:rFonts w:ascii="Times New Roman" w:hAnsi="Times New Roman" w:cs="Times New Roman"/>
          <w:sz w:val="20"/>
          <w:lang w:val="en-GB"/>
        </w:rPr>
        <w:t>as of</w:t>
      </w:r>
      <w:r w:rsidRPr="00DA532E">
        <w:rPr>
          <w:rFonts w:ascii="Times New Roman" w:hAnsi="Times New Roman" w:cs="Times New Roman"/>
          <w:sz w:val="20"/>
          <w:lang w:val="en-GB"/>
        </w:rPr>
        <w:t xml:space="preserve"> 2017 for the energy </w:t>
      </w:r>
      <w:r>
        <w:rPr>
          <w:rFonts w:ascii="Times New Roman" w:hAnsi="Times New Roman" w:cs="Times New Roman"/>
          <w:sz w:val="20"/>
          <w:lang w:val="en-GB"/>
        </w:rPr>
        <w:t xml:space="preserve">sector </w:t>
      </w:r>
      <w:r w:rsidR="00906114">
        <w:rPr>
          <w:rFonts w:ascii="Times New Roman" w:hAnsi="Times New Roman" w:cs="Times New Roman"/>
          <w:sz w:val="20"/>
          <w:lang w:val="en-GB"/>
        </w:rPr>
        <w:t xml:space="preserve">performance </w:t>
      </w:r>
      <w:r w:rsidRPr="00DA532E">
        <w:rPr>
          <w:rFonts w:ascii="Times New Roman" w:hAnsi="Times New Roman" w:cs="Times New Roman"/>
          <w:sz w:val="20"/>
          <w:lang w:val="en-GB"/>
        </w:rPr>
        <w:t xml:space="preserve">efficiency subsystems of CIS countries are </w:t>
      </w:r>
      <w:r>
        <w:rPr>
          <w:rFonts w:ascii="Times New Roman" w:hAnsi="Times New Roman" w:cs="Times New Roman"/>
          <w:sz w:val="20"/>
          <w:lang w:val="en-GB"/>
        </w:rPr>
        <w:t xml:space="preserve">as follows: </w:t>
      </w:r>
      <w:r w:rsidRPr="00DA532E">
        <w:rPr>
          <w:rFonts w:ascii="Times New Roman" w:hAnsi="Times New Roman" w:cs="Times New Roman"/>
          <w:sz w:val="20"/>
          <w:lang w:val="en-GB"/>
        </w:rPr>
        <w:t>for Economic growth and development</w:t>
      </w:r>
      <w:r>
        <w:rPr>
          <w:rFonts w:ascii="Times New Roman" w:hAnsi="Times New Roman" w:cs="Times New Roman"/>
          <w:sz w:val="20"/>
          <w:lang w:val="en-GB"/>
        </w:rPr>
        <w:t xml:space="preserve"> - </w:t>
      </w:r>
      <w:r w:rsidRPr="00DA532E">
        <w:rPr>
          <w:rFonts w:ascii="Times New Roman" w:hAnsi="Times New Roman" w:cs="Times New Roman"/>
          <w:sz w:val="20"/>
          <w:lang w:val="en-GB"/>
        </w:rPr>
        <w:t>0.44, Environmental sustainability</w:t>
      </w:r>
      <w:r>
        <w:rPr>
          <w:rFonts w:ascii="Times New Roman" w:hAnsi="Times New Roman" w:cs="Times New Roman"/>
          <w:sz w:val="20"/>
          <w:lang w:val="en-GB"/>
        </w:rPr>
        <w:t xml:space="preserve"> - </w:t>
      </w:r>
      <w:r w:rsidRPr="00DA532E">
        <w:rPr>
          <w:rFonts w:ascii="Times New Roman" w:hAnsi="Times New Roman" w:cs="Times New Roman"/>
          <w:sz w:val="20"/>
          <w:lang w:val="en-GB"/>
        </w:rPr>
        <w:t>0.63, and Energy access and security</w:t>
      </w:r>
      <w:r>
        <w:rPr>
          <w:rFonts w:ascii="Times New Roman" w:hAnsi="Times New Roman" w:cs="Times New Roman"/>
          <w:sz w:val="20"/>
          <w:lang w:val="en-GB"/>
        </w:rPr>
        <w:t xml:space="preserve"> - </w:t>
      </w:r>
      <w:r w:rsidRPr="00DA532E">
        <w:rPr>
          <w:rFonts w:ascii="Times New Roman" w:hAnsi="Times New Roman" w:cs="Times New Roman"/>
          <w:sz w:val="20"/>
          <w:lang w:val="en-GB"/>
        </w:rPr>
        <w:t>0.73</w:t>
      </w:r>
      <w:r>
        <w:rPr>
          <w:rFonts w:ascii="Times New Roman" w:hAnsi="Times New Roman" w:cs="Times New Roman"/>
          <w:sz w:val="20"/>
          <w:lang w:val="en-GB"/>
        </w:rPr>
        <w:t>.</w:t>
      </w:r>
    </w:p>
    <w:p w:rsidR="00D17C4F" w:rsidRPr="00C67A77" w:rsidRDefault="00C67A77" w:rsidP="00D17C4F">
      <w:pPr>
        <w:ind w:firstLine="284"/>
        <w:jc w:val="both"/>
        <w:rPr>
          <w:rFonts w:ascii="Times New Roman" w:hAnsi="Times New Roman" w:cs="Times New Roman"/>
          <w:sz w:val="20"/>
          <w:lang w:val="en-US"/>
        </w:rPr>
      </w:pPr>
      <w:r>
        <w:rPr>
          <w:rFonts w:ascii="Times New Roman" w:hAnsi="Times New Roman" w:cs="Times New Roman"/>
          <w:sz w:val="20"/>
          <w:lang w:val="en-US"/>
        </w:rPr>
        <w:t>On the whole, the</w:t>
      </w:r>
      <w:r w:rsidRPr="00C67A77">
        <w:rPr>
          <w:rFonts w:ascii="Times New Roman" w:hAnsi="Times New Roman" w:cs="Times New Roman"/>
          <w:sz w:val="20"/>
          <w:lang w:val="en-US"/>
        </w:rPr>
        <w:t xml:space="preserve"> energy </w:t>
      </w:r>
      <w:r>
        <w:rPr>
          <w:rFonts w:ascii="Times New Roman" w:hAnsi="Times New Roman" w:cs="Times New Roman"/>
          <w:sz w:val="20"/>
          <w:lang w:val="en-US"/>
        </w:rPr>
        <w:t xml:space="preserve">sector </w:t>
      </w:r>
      <w:r w:rsidR="002F0E98">
        <w:rPr>
          <w:rFonts w:ascii="Times New Roman" w:hAnsi="Times New Roman" w:cs="Times New Roman"/>
          <w:sz w:val="20"/>
          <w:lang w:val="en-US"/>
        </w:rPr>
        <w:t>performance</w:t>
      </w:r>
      <w:r>
        <w:rPr>
          <w:rFonts w:ascii="Times New Roman" w:hAnsi="Times New Roman" w:cs="Times New Roman"/>
          <w:sz w:val="20"/>
          <w:lang w:val="en-US"/>
        </w:rPr>
        <w:t xml:space="preserve"> </w:t>
      </w:r>
      <w:r w:rsidRPr="00C67A77">
        <w:rPr>
          <w:rFonts w:ascii="Times New Roman" w:hAnsi="Times New Roman" w:cs="Times New Roman"/>
          <w:sz w:val="20"/>
          <w:lang w:val="en-US"/>
        </w:rPr>
        <w:t>efficiency in CIS countries increased by 7%</w:t>
      </w:r>
      <w:r>
        <w:rPr>
          <w:rFonts w:ascii="Times New Roman" w:hAnsi="Times New Roman" w:cs="Times New Roman"/>
          <w:sz w:val="20"/>
          <w:lang w:val="en-US"/>
        </w:rPr>
        <w:t>.</w:t>
      </w:r>
    </w:p>
    <w:p w:rsidR="002F4D29" w:rsidRPr="001304BD" w:rsidRDefault="002F0E98" w:rsidP="002F4D29">
      <w:pPr>
        <w:ind w:firstLine="284"/>
        <w:jc w:val="both"/>
        <w:rPr>
          <w:rFonts w:ascii="Times New Roman" w:hAnsi="Times New Roman" w:cs="Times New Roman"/>
          <w:sz w:val="20"/>
          <w:lang w:val="en-US"/>
        </w:rPr>
      </w:pPr>
      <w:r w:rsidRPr="002F0E98">
        <w:rPr>
          <w:rFonts w:ascii="Times New Roman" w:hAnsi="Times New Roman" w:cs="Times New Roman"/>
          <w:sz w:val="20"/>
          <w:lang w:val="en-US"/>
        </w:rPr>
        <w:t xml:space="preserve">Analyzing all regions, </w:t>
      </w:r>
      <w:r>
        <w:rPr>
          <w:rFonts w:ascii="Times New Roman" w:hAnsi="Times New Roman" w:cs="Times New Roman"/>
          <w:sz w:val="20"/>
          <w:lang w:val="en-US"/>
        </w:rPr>
        <w:t>one</w:t>
      </w:r>
      <w:r w:rsidRPr="002F0E98">
        <w:rPr>
          <w:rFonts w:ascii="Times New Roman" w:hAnsi="Times New Roman" w:cs="Times New Roman"/>
          <w:sz w:val="20"/>
          <w:lang w:val="en-US"/>
        </w:rPr>
        <w:t xml:space="preserve"> can </w:t>
      </w:r>
      <w:r>
        <w:rPr>
          <w:rFonts w:ascii="Times New Roman" w:hAnsi="Times New Roman" w:cs="Times New Roman"/>
          <w:sz w:val="20"/>
          <w:lang w:val="en-US"/>
        </w:rPr>
        <w:t>reach a conclusion</w:t>
      </w:r>
      <w:r w:rsidRPr="002F0E98">
        <w:rPr>
          <w:rFonts w:ascii="Times New Roman" w:hAnsi="Times New Roman" w:cs="Times New Roman"/>
          <w:sz w:val="20"/>
          <w:lang w:val="en-US"/>
        </w:rPr>
        <w:t xml:space="preserve"> that small but steady growth is observed in all subsystems of </w:t>
      </w:r>
      <w:r>
        <w:rPr>
          <w:rFonts w:ascii="Times New Roman" w:hAnsi="Times New Roman" w:cs="Times New Roman"/>
          <w:sz w:val="20"/>
          <w:lang w:val="en-US"/>
        </w:rPr>
        <w:t xml:space="preserve">the </w:t>
      </w:r>
      <w:r w:rsidRPr="002F0E98">
        <w:rPr>
          <w:rFonts w:ascii="Times New Roman" w:hAnsi="Times New Roman" w:cs="Times New Roman"/>
          <w:sz w:val="20"/>
          <w:lang w:val="en-US"/>
        </w:rPr>
        <w:t xml:space="preserve">energy </w:t>
      </w:r>
      <w:r>
        <w:rPr>
          <w:rFonts w:ascii="Times New Roman" w:hAnsi="Times New Roman" w:cs="Times New Roman"/>
          <w:sz w:val="20"/>
          <w:lang w:val="en-US"/>
        </w:rPr>
        <w:t xml:space="preserve">sector performance </w:t>
      </w:r>
      <w:r w:rsidRPr="002F0E98">
        <w:rPr>
          <w:rFonts w:ascii="Times New Roman" w:hAnsi="Times New Roman" w:cs="Times New Roman"/>
          <w:sz w:val="20"/>
          <w:lang w:val="en-US"/>
        </w:rPr>
        <w:t>efficiency</w:t>
      </w:r>
      <w:r w:rsidR="0072565A" w:rsidRPr="002F0E98">
        <w:rPr>
          <w:rFonts w:ascii="Times New Roman" w:hAnsi="Times New Roman" w:cs="Times New Roman"/>
          <w:sz w:val="20"/>
          <w:lang w:val="en-US"/>
        </w:rPr>
        <w:t>.</w:t>
      </w:r>
      <w:r w:rsidR="001304BD" w:rsidRPr="003C0B15">
        <w:rPr>
          <w:rFonts w:ascii="Times New Roman" w:hAnsi="Times New Roman" w:cs="Times New Roman"/>
          <w:sz w:val="20"/>
          <w:lang w:val="en-US"/>
        </w:rPr>
        <w:t xml:space="preserve"> </w:t>
      </w:r>
      <w:r w:rsidR="001304BD" w:rsidRPr="001304BD">
        <w:rPr>
          <w:rFonts w:ascii="Times New Roman" w:hAnsi="Times New Roman" w:cs="Times New Roman"/>
          <w:sz w:val="20"/>
          <w:lang w:val="en-US"/>
        </w:rPr>
        <w:t xml:space="preserve">As </w:t>
      </w:r>
      <w:r w:rsidR="001304BD">
        <w:rPr>
          <w:rFonts w:ascii="Times New Roman" w:hAnsi="Times New Roman" w:cs="Times New Roman"/>
          <w:sz w:val="20"/>
          <w:lang w:val="en-US"/>
        </w:rPr>
        <w:t>is obvious</w:t>
      </w:r>
      <w:r w:rsidR="001304BD" w:rsidRPr="001304BD">
        <w:rPr>
          <w:rFonts w:ascii="Times New Roman" w:hAnsi="Times New Roman" w:cs="Times New Roman"/>
          <w:sz w:val="20"/>
          <w:lang w:val="en-US"/>
        </w:rPr>
        <w:t xml:space="preserve"> from all the above </w:t>
      </w:r>
      <w:r w:rsidR="001304BD">
        <w:rPr>
          <w:rFonts w:ascii="Times New Roman" w:hAnsi="Times New Roman" w:cs="Times New Roman"/>
          <w:sz w:val="20"/>
          <w:lang w:val="en-US"/>
        </w:rPr>
        <w:t>curves and as shown in Figure 8, in 2014 the value of the E</w:t>
      </w:r>
      <w:r w:rsidR="001304BD" w:rsidRPr="001304BD">
        <w:rPr>
          <w:rFonts w:ascii="Times New Roman" w:hAnsi="Times New Roman" w:cs="Times New Roman"/>
          <w:sz w:val="20"/>
          <w:lang w:val="en-US"/>
        </w:rPr>
        <w:t>nvironm</w:t>
      </w:r>
      <w:r w:rsidR="001304BD">
        <w:rPr>
          <w:rFonts w:ascii="Times New Roman" w:hAnsi="Times New Roman" w:cs="Times New Roman"/>
          <w:sz w:val="20"/>
          <w:lang w:val="en-US"/>
        </w:rPr>
        <w:t>ental sustainability subsystem</w:t>
      </w:r>
      <w:r w:rsidR="001304BD" w:rsidRPr="001304BD">
        <w:rPr>
          <w:rFonts w:ascii="Times New Roman" w:hAnsi="Times New Roman" w:cs="Times New Roman"/>
          <w:sz w:val="20"/>
          <w:lang w:val="en-US"/>
        </w:rPr>
        <w:t xml:space="preserve"> </w:t>
      </w:r>
      <w:r w:rsidR="001304BD">
        <w:rPr>
          <w:rFonts w:ascii="Times New Roman" w:hAnsi="Times New Roman" w:cs="Times New Roman"/>
          <w:sz w:val="20"/>
          <w:lang w:val="en-US"/>
        </w:rPr>
        <w:t xml:space="preserve">dropped </w:t>
      </w:r>
      <w:r w:rsidR="001304BD" w:rsidRPr="001304BD">
        <w:rPr>
          <w:rFonts w:ascii="Times New Roman" w:hAnsi="Times New Roman" w:cs="Times New Roman"/>
          <w:sz w:val="20"/>
          <w:lang w:val="en-US"/>
        </w:rPr>
        <w:t>significantly</w:t>
      </w:r>
      <w:r w:rsidR="001304BD">
        <w:rPr>
          <w:rFonts w:ascii="Times New Roman" w:hAnsi="Times New Roman" w:cs="Times New Roman"/>
          <w:sz w:val="20"/>
          <w:lang w:val="en-US"/>
        </w:rPr>
        <w:t xml:space="preserve"> </w:t>
      </w:r>
      <w:r w:rsidR="003C0B15">
        <w:rPr>
          <w:rFonts w:ascii="Times New Roman" w:hAnsi="Times New Roman" w:cs="Times New Roman"/>
          <w:sz w:val="20"/>
          <w:lang w:val="en-US"/>
        </w:rPr>
        <w:t>in all regions, and in 2015</w:t>
      </w:r>
      <w:r w:rsidR="001304BD" w:rsidRPr="001304BD">
        <w:rPr>
          <w:rFonts w:ascii="Times New Roman" w:hAnsi="Times New Roman" w:cs="Times New Roman"/>
          <w:sz w:val="20"/>
          <w:lang w:val="en-US"/>
        </w:rPr>
        <w:t xml:space="preserve"> it recovered and remained almost unchanged over the past few years</w:t>
      </w:r>
      <w:r w:rsidR="00906114">
        <w:rPr>
          <w:rFonts w:ascii="Times New Roman" w:hAnsi="Times New Roman" w:cs="Times New Roman"/>
          <w:sz w:val="20"/>
          <w:lang w:val="en-US"/>
        </w:rPr>
        <w:t>.</w:t>
      </w:r>
    </w:p>
    <w:p w:rsidR="00D17C4F" w:rsidRDefault="00DE6CDB" w:rsidP="005663AD">
      <w:pPr>
        <w:jc w:val="both"/>
        <w:rPr>
          <w:rFonts w:asciiTheme="minorHAnsi" w:hAnsiTheme="minorHAnsi"/>
          <w:sz w:val="20"/>
          <w:lang w:val="ru-RU"/>
        </w:rPr>
      </w:pPr>
      <w:r w:rsidRPr="00DE6CDB">
        <w:rPr>
          <w:rFonts w:asciiTheme="minorHAnsi" w:hAnsiTheme="minorHAnsi"/>
          <w:noProof/>
          <w:sz w:val="20"/>
          <w:lang w:val="en-US" w:eastAsia="en-US"/>
        </w:rPr>
        <w:lastRenderedPageBreak/>
        <w:drawing>
          <wp:inline distT="0" distB="0" distL="0" distR="0">
            <wp:extent cx="2664000" cy="1910687"/>
            <wp:effectExtent l="0" t="0" r="0" b="0"/>
            <wp:docPr id="17"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0445F" w:rsidRPr="007B3E69" w:rsidRDefault="0060445F" w:rsidP="00BB7FFD">
      <w:pPr>
        <w:spacing w:before="170" w:after="170"/>
        <w:jc w:val="both"/>
        <w:rPr>
          <w:rFonts w:ascii="Times New Roman" w:hAnsi="Times New Roman"/>
          <w:sz w:val="18"/>
          <w:szCs w:val="18"/>
          <w:lang w:val="en-US"/>
        </w:rPr>
      </w:pPr>
      <w:r w:rsidRPr="00CA1091">
        <w:rPr>
          <w:rFonts w:ascii="Times New Roman" w:hAnsi="Times New Roman"/>
          <w:b/>
          <w:sz w:val="18"/>
          <w:szCs w:val="18"/>
          <w:lang w:val="en-GB"/>
        </w:rPr>
        <w:t>Fig</w:t>
      </w:r>
      <w:r>
        <w:rPr>
          <w:rFonts w:ascii="Times New Roman" w:hAnsi="Times New Roman"/>
          <w:b/>
          <w:sz w:val="18"/>
          <w:szCs w:val="18"/>
          <w:lang w:val="en-GB"/>
        </w:rPr>
        <w:t>.</w:t>
      </w:r>
      <w:r w:rsidRPr="00CA1091">
        <w:rPr>
          <w:rFonts w:ascii="Times New Roman" w:hAnsi="Times New Roman"/>
          <w:b/>
          <w:sz w:val="18"/>
          <w:szCs w:val="18"/>
          <w:lang w:val="en-GB"/>
        </w:rPr>
        <w:t xml:space="preserve"> </w:t>
      </w:r>
      <w:r>
        <w:rPr>
          <w:rFonts w:ascii="Times New Roman" w:hAnsi="Times New Roman"/>
          <w:b/>
          <w:sz w:val="18"/>
          <w:szCs w:val="18"/>
          <w:lang w:val="en-GB"/>
        </w:rPr>
        <w:t>8</w:t>
      </w:r>
      <w:r w:rsidRPr="00CA1091">
        <w:rPr>
          <w:rFonts w:ascii="Times New Roman" w:hAnsi="Times New Roman"/>
          <w:b/>
          <w:bCs/>
          <w:sz w:val="18"/>
          <w:szCs w:val="18"/>
          <w:lang w:val="en-GB"/>
        </w:rPr>
        <w:t>.</w:t>
      </w:r>
      <w:r w:rsidRPr="00CA1091">
        <w:rPr>
          <w:rFonts w:ascii="Times New Roman" w:hAnsi="Times New Roman"/>
          <w:sz w:val="18"/>
          <w:szCs w:val="18"/>
          <w:lang w:val="en-GB"/>
        </w:rPr>
        <w:t xml:space="preserve"> </w:t>
      </w:r>
      <w:r w:rsidRPr="007B3E69">
        <w:rPr>
          <w:rFonts w:ascii="Times New Roman" w:hAnsi="Times New Roman"/>
          <w:sz w:val="18"/>
          <w:szCs w:val="18"/>
          <w:lang w:val="en-GB"/>
        </w:rPr>
        <w:t>Energy</w:t>
      </w:r>
      <w:r w:rsidRPr="007B3E69">
        <w:rPr>
          <w:rFonts w:ascii="Times New Roman" w:hAnsi="Times New Roman"/>
          <w:sz w:val="18"/>
          <w:szCs w:val="18"/>
          <w:lang w:val="en-US"/>
        </w:rPr>
        <w:t xml:space="preserve"> </w:t>
      </w:r>
      <w:r w:rsidRPr="007B3E69">
        <w:rPr>
          <w:rFonts w:ascii="Times New Roman" w:hAnsi="Times New Roman"/>
          <w:sz w:val="18"/>
          <w:szCs w:val="18"/>
          <w:lang w:val="en-GB"/>
        </w:rPr>
        <w:t>Architecture</w:t>
      </w:r>
      <w:r w:rsidRPr="007B3E69">
        <w:rPr>
          <w:rFonts w:ascii="Times New Roman" w:hAnsi="Times New Roman"/>
          <w:sz w:val="18"/>
          <w:szCs w:val="18"/>
          <w:lang w:val="en-US"/>
        </w:rPr>
        <w:t xml:space="preserve"> </w:t>
      </w:r>
      <w:r w:rsidRPr="007B3E69">
        <w:rPr>
          <w:rFonts w:ascii="Times New Roman" w:hAnsi="Times New Roman"/>
          <w:sz w:val="18"/>
          <w:szCs w:val="18"/>
          <w:lang w:val="en-GB"/>
        </w:rPr>
        <w:t>Performance</w:t>
      </w:r>
      <w:r w:rsidRPr="007B3E69">
        <w:rPr>
          <w:rFonts w:ascii="Times New Roman" w:hAnsi="Times New Roman"/>
          <w:sz w:val="18"/>
          <w:szCs w:val="18"/>
          <w:lang w:val="en-US"/>
        </w:rPr>
        <w:t xml:space="preserve"> </w:t>
      </w:r>
      <w:r w:rsidRPr="007B3E69">
        <w:rPr>
          <w:rFonts w:ascii="Times New Roman" w:hAnsi="Times New Roman"/>
          <w:sz w:val="18"/>
          <w:szCs w:val="18"/>
          <w:lang w:val="en-GB"/>
        </w:rPr>
        <w:t>Index</w:t>
      </w:r>
      <w:r>
        <w:rPr>
          <w:rFonts w:ascii="Times New Roman" w:hAnsi="Times New Roman"/>
          <w:sz w:val="18"/>
          <w:szCs w:val="18"/>
          <w:lang w:val="en-GB"/>
        </w:rPr>
        <w:t xml:space="preserve"> of World</w:t>
      </w:r>
    </w:p>
    <w:p w:rsidR="0072565A" w:rsidRPr="003C0B15" w:rsidRDefault="00B04D85" w:rsidP="00855D07">
      <w:pPr>
        <w:ind w:firstLine="284"/>
        <w:jc w:val="both"/>
        <w:rPr>
          <w:rFonts w:ascii="Times New Roman" w:hAnsi="Times New Roman" w:cs="Times New Roman"/>
          <w:sz w:val="20"/>
          <w:lang w:val="en-US"/>
        </w:rPr>
      </w:pPr>
      <w:r>
        <w:rPr>
          <w:rFonts w:ascii="Times New Roman" w:hAnsi="Times New Roman" w:cs="Times New Roman"/>
          <w:sz w:val="20"/>
          <w:lang w:val="en-US"/>
        </w:rPr>
        <w:t>Values of world energy sector performance efficiency subsystems as of</w:t>
      </w:r>
      <w:r w:rsidR="0072565A" w:rsidRPr="00AC16D9">
        <w:rPr>
          <w:rFonts w:ascii="Times New Roman" w:hAnsi="Times New Roman" w:cs="Times New Roman"/>
          <w:sz w:val="20"/>
          <w:lang w:val="en-GB"/>
        </w:rPr>
        <w:t xml:space="preserve"> 2017 </w:t>
      </w:r>
      <w:r>
        <w:rPr>
          <w:rFonts w:ascii="Times New Roman" w:hAnsi="Times New Roman" w:cs="Times New Roman"/>
          <w:sz w:val="20"/>
          <w:lang w:val="en-GB"/>
        </w:rPr>
        <w:t xml:space="preserve">are as follows: </w:t>
      </w:r>
      <w:r w:rsidR="0072565A" w:rsidRPr="00AC16D9">
        <w:rPr>
          <w:rFonts w:ascii="Times New Roman" w:hAnsi="Times New Roman" w:cs="Times New Roman"/>
          <w:sz w:val="20"/>
          <w:lang w:val="en-GB"/>
        </w:rPr>
        <w:t xml:space="preserve"> </w:t>
      </w:r>
      <w:r w:rsidR="0072565A" w:rsidRPr="00855D07">
        <w:rPr>
          <w:rFonts w:ascii="Times New Roman" w:hAnsi="Times New Roman" w:cs="Times New Roman"/>
          <w:sz w:val="20"/>
          <w:lang w:val="en-US"/>
        </w:rPr>
        <w:t>Economic</w:t>
      </w:r>
      <w:r w:rsidR="0072565A" w:rsidRPr="00AC16D9">
        <w:rPr>
          <w:rFonts w:ascii="Times New Roman" w:hAnsi="Times New Roman" w:cs="Times New Roman"/>
          <w:sz w:val="20"/>
          <w:lang w:val="en-GB"/>
        </w:rPr>
        <w:t xml:space="preserve"> </w:t>
      </w:r>
      <w:r w:rsidR="0072565A" w:rsidRPr="00855D07">
        <w:rPr>
          <w:rFonts w:ascii="Times New Roman" w:hAnsi="Times New Roman" w:cs="Times New Roman"/>
          <w:sz w:val="20"/>
          <w:lang w:val="en-US"/>
        </w:rPr>
        <w:t>growth</w:t>
      </w:r>
      <w:r w:rsidR="0072565A" w:rsidRPr="00AC16D9">
        <w:rPr>
          <w:rFonts w:ascii="Times New Roman" w:hAnsi="Times New Roman" w:cs="Times New Roman"/>
          <w:sz w:val="20"/>
          <w:lang w:val="en-GB"/>
        </w:rPr>
        <w:t xml:space="preserve"> </w:t>
      </w:r>
      <w:r w:rsidR="0072565A" w:rsidRPr="00855D07">
        <w:rPr>
          <w:rFonts w:ascii="Times New Roman" w:hAnsi="Times New Roman" w:cs="Times New Roman"/>
          <w:sz w:val="20"/>
          <w:lang w:val="en-US"/>
        </w:rPr>
        <w:t>and</w:t>
      </w:r>
      <w:r w:rsidR="0072565A" w:rsidRPr="00AC16D9">
        <w:rPr>
          <w:rFonts w:ascii="Times New Roman" w:hAnsi="Times New Roman" w:cs="Times New Roman"/>
          <w:sz w:val="20"/>
          <w:lang w:val="en-GB"/>
        </w:rPr>
        <w:t xml:space="preserve"> </w:t>
      </w:r>
      <w:r w:rsidR="0072565A" w:rsidRPr="00855D07">
        <w:rPr>
          <w:rFonts w:ascii="Times New Roman" w:hAnsi="Times New Roman" w:cs="Times New Roman"/>
          <w:sz w:val="20"/>
          <w:lang w:val="en-US"/>
        </w:rPr>
        <w:t>development</w:t>
      </w:r>
      <w:r w:rsidR="0072565A" w:rsidRPr="00AC16D9">
        <w:rPr>
          <w:rFonts w:ascii="Times New Roman" w:hAnsi="Times New Roman" w:cs="Times New Roman"/>
          <w:sz w:val="20"/>
          <w:lang w:val="en-GB"/>
        </w:rPr>
        <w:t xml:space="preserve">-0.52, </w:t>
      </w:r>
      <w:r w:rsidR="0072565A" w:rsidRPr="00855D07">
        <w:rPr>
          <w:rFonts w:ascii="Times New Roman" w:hAnsi="Times New Roman" w:cs="Times New Roman"/>
          <w:sz w:val="20"/>
          <w:lang w:val="en-US"/>
        </w:rPr>
        <w:t>Environmental</w:t>
      </w:r>
      <w:r w:rsidR="0072565A" w:rsidRPr="00AC16D9">
        <w:rPr>
          <w:rFonts w:ascii="Times New Roman" w:hAnsi="Times New Roman" w:cs="Times New Roman"/>
          <w:sz w:val="20"/>
          <w:lang w:val="en-GB"/>
        </w:rPr>
        <w:t xml:space="preserve"> </w:t>
      </w:r>
      <w:r w:rsidR="0072565A" w:rsidRPr="00855D07">
        <w:rPr>
          <w:rFonts w:ascii="Times New Roman" w:hAnsi="Times New Roman" w:cs="Times New Roman"/>
          <w:sz w:val="20"/>
          <w:lang w:val="en-US"/>
        </w:rPr>
        <w:t>sustainability</w:t>
      </w:r>
      <w:r w:rsidR="0072565A" w:rsidRPr="00AC16D9">
        <w:rPr>
          <w:rFonts w:ascii="Times New Roman" w:hAnsi="Times New Roman" w:cs="Times New Roman"/>
          <w:sz w:val="20"/>
          <w:lang w:val="en-GB"/>
        </w:rPr>
        <w:t xml:space="preserve">-0.62, </w:t>
      </w:r>
      <w:r w:rsidR="0072565A" w:rsidRPr="00855D07">
        <w:rPr>
          <w:rFonts w:ascii="Times New Roman" w:hAnsi="Times New Roman" w:cs="Times New Roman"/>
          <w:sz w:val="20"/>
          <w:lang w:val="en-US"/>
        </w:rPr>
        <w:t>Energy</w:t>
      </w:r>
      <w:r w:rsidR="0072565A" w:rsidRPr="00AC16D9">
        <w:rPr>
          <w:rFonts w:ascii="Times New Roman" w:hAnsi="Times New Roman" w:cs="Times New Roman"/>
          <w:sz w:val="20"/>
          <w:lang w:val="en-GB"/>
        </w:rPr>
        <w:t xml:space="preserve"> </w:t>
      </w:r>
      <w:r w:rsidR="0072565A" w:rsidRPr="00855D07">
        <w:rPr>
          <w:rFonts w:ascii="Times New Roman" w:hAnsi="Times New Roman" w:cs="Times New Roman"/>
          <w:sz w:val="20"/>
          <w:lang w:val="en-US"/>
        </w:rPr>
        <w:t>access</w:t>
      </w:r>
      <w:r w:rsidR="0072565A" w:rsidRPr="00AC16D9">
        <w:rPr>
          <w:rFonts w:ascii="Times New Roman" w:hAnsi="Times New Roman" w:cs="Times New Roman"/>
          <w:sz w:val="20"/>
          <w:lang w:val="en-GB"/>
        </w:rPr>
        <w:t xml:space="preserve"> </w:t>
      </w:r>
      <w:r w:rsidR="0072565A" w:rsidRPr="00855D07">
        <w:rPr>
          <w:rFonts w:ascii="Times New Roman" w:hAnsi="Times New Roman" w:cs="Times New Roman"/>
          <w:sz w:val="20"/>
          <w:lang w:val="en-US"/>
        </w:rPr>
        <w:t>and</w:t>
      </w:r>
      <w:r w:rsidR="0072565A" w:rsidRPr="00AC16D9">
        <w:rPr>
          <w:rFonts w:ascii="Times New Roman" w:hAnsi="Times New Roman" w:cs="Times New Roman"/>
          <w:sz w:val="20"/>
          <w:lang w:val="en-GB"/>
        </w:rPr>
        <w:t xml:space="preserve"> </w:t>
      </w:r>
      <w:r w:rsidR="0072565A" w:rsidRPr="00855D07">
        <w:rPr>
          <w:rFonts w:ascii="Times New Roman" w:hAnsi="Times New Roman" w:cs="Times New Roman"/>
          <w:sz w:val="20"/>
          <w:lang w:val="en-US"/>
        </w:rPr>
        <w:t>security</w:t>
      </w:r>
      <w:r w:rsidR="0072565A" w:rsidRPr="00AC16D9">
        <w:rPr>
          <w:rFonts w:ascii="Times New Roman" w:hAnsi="Times New Roman" w:cs="Times New Roman"/>
          <w:sz w:val="20"/>
          <w:lang w:val="en-GB"/>
        </w:rPr>
        <w:t>-0.69.</w:t>
      </w:r>
      <w:r w:rsidR="003C0B15">
        <w:rPr>
          <w:rFonts w:ascii="Times New Roman" w:hAnsi="Times New Roman" w:cs="Times New Roman"/>
          <w:sz w:val="20"/>
          <w:lang w:val="en-GB"/>
        </w:rPr>
        <w:t xml:space="preserve"> </w:t>
      </w:r>
    </w:p>
    <w:p w:rsidR="00855D07" w:rsidRPr="00D46B42" w:rsidRDefault="00B04D85" w:rsidP="0093000C">
      <w:pPr>
        <w:ind w:firstLine="284"/>
        <w:jc w:val="both"/>
        <w:rPr>
          <w:rFonts w:ascii="Times New Roman" w:hAnsi="Times New Roman" w:cs="Times New Roman"/>
          <w:sz w:val="20"/>
          <w:lang w:val="en-US"/>
        </w:rPr>
      </w:pPr>
      <w:r>
        <w:rPr>
          <w:rFonts w:ascii="Times New Roman" w:hAnsi="Times New Roman" w:cs="Times New Roman"/>
          <w:sz w:val="20"/>
          <w:lang w:val="en-US"/>
        </w:rPr>
        <w:t>In general, the world energy sector performance efficiency for</w:t>
      </w:r>
      <w:r w:rsidR="0072565A" w:rsidRPr="00B04D85">
        <w:rPr>
          <w:rFonts w:ascii="Times New Roman" w:hAnsi="Times New Roman" w:cs="Times New Roman"/>
          <w:sz w:val="20"/>
          <w:lang w:val="en-US"/>
        </w:rPr>
        <w:t xml:space="preserve"> 2013-2017 </w:t>
      </w:r>
      <w:r>
        <w:rPr>
          <w:rFonts w:ascii="Times New Roman" w:hAnsi="Times New Roman" w:cs="Times New Roman"/>
          <w:sz w:val="20"/>
          <w:lang w:val="en-US"/>
        </w:rPr>
        <w:t>increased by</w:t>
      </w:r>
      <w:r w:rsidR="0072565A" w:rsidRPr="00B04D85">
        <w:rPr>
          <w:rFonts w:ascii="Times New Roman" w:hAnsi="Times New Roman" w:cs="Times New Roman"/>
          <w:sz w:val="20"/>
          <w:lang w:val="en-US"/>
        </w:rPr>
        <w:t xml:space="preserve"> 11%.</w:t>
      </w:r>
      <w:r w:rsidR="0093000C" w:rsidRPr="00B04D85">
        <w:rPr>
          <w:rFonts w:ascii="Times New Roman" w:hAnsi="Times New Roman" w:cs="Times New Roman"/>
          <w:sz w:val="20"/>
          <w:lang w:val="en-US"/>
        </w:rPr>
        <w:t xml:space="preserve"> </w:t>
      </w:r>
      <w:r w:rsidRPr="00B04D85">
        <w:rPr>
          <w:rFonts w:ascii="Times New Roman" w:hAnsi="Times New Roman" w:cs="Times New Roman"/>
          <w:bCs/>
          <w:sz w:val="20"/>
          <w:lang w:val="en-US"/>
        </w:rPr>
        <w:t>The location of the curves of all 3 subsystems of energy efficiency around the world repeat</w:t>
      </w:r>
      <w:r w:rsidR="00906114">
        <w:rPr>
          <w:rFonts w:ascii="Times New Roman" w:hAnsi="Times New Roman" w:cs="Times New Roman"/>
          <w:bCs/>
          <w:sz w:val="20"/>
          <w:lang w:val="en-US"/>
        </w:rPr>
        <w:t>s</w:t>
      </w:r>
      <w:r w:rsidRPr="00B04D85">
        <w:rPr>
          <w:rFonts w:ascii="Times New Roman" w:hAnsi="Times New Roman" w:cs="Times New Roman"/>
          <w:bCs/>
          <w:sz w:val="20"/>
          <w:lang w:val="en-US"/>
        </w:rPr>
        <w:t xml:space="preserve"> the location of the corresponding curves for the EU, North America, ASEAN and CIS countries</w:t>
      </w:r>
      <w:r w:rsidR="00855D07" w:rsidRPr="00B04D85">
        <w:rPr>
          <w:rFonts w:ascii="Times New Roman" w:hAnsi="Times New Roman" w:cs="Times New Roman"/>
          <w:bCs/>
          <w:sz w:val="20"/>
          <w:lang w:val="en-US"/>
        </w:rPr>
        <w:t xml:space="preserve">. </w:t>
      </w:r>
      <w:r>
        <w:rPr>
          <w:rFonts w:ascii="Times New Roman" w:hAnsi="Times New Roman" w:cs="Times New Roman"/>
          <w:bCs/>
          <w:sz w:val="20"/>
          <w:lang w:val="en-US"/>
        </w:rPr>
        <w:t xml:space="preserve">As is obvious from the Figure 7, </w:t>
      </w:r>
      <w:r w:rsidR="00C22DF6" w:rsidRPr="00B04D85">
        <w:rPr>
          <w:rFonts w:ascii="Times New Roman" w:hAnsi="Times New Roman" w:cs="Times New Roman"/>
          <w:sz w:val="20"/>
          <w:lang w:val="en-US"/>
        </w:rPr>
        <w:t xml:space="preserve">Economic growth and development (0.52)  </w:t>
      </w:r>
      <w:r>
        <w:rPr>
          <w:rFonts w:ascii="Times New Roman" w:hAnsi="Times New Roman" w:cs="Times New Roman"/>
          <w:sz w:val="20"/>
          <w:lang w:val="en-US"/>
        </w:rPr>
        <w:t>and</w:t>
      </w:r>
      <w:r w:rsidR="00C22DF6" w:rsidRPr="00B04D85">
        <w:rPr>
          <w:rFonts w:ascii="Times New Roman" w:hAnsi="Times New Roman" w:cs="Times New Roman"/>
          <w:sz w:val="20"/>
          <w:lang w:val="en-US"/>
        </w:rPr>
        <w:t xml:space="preserve"> </w:t>
      </w:r>
      <w:r w:rsidR="00C22DF6" w:rsidRPr="00855D07">
        <w:rPr>
          <w:rFonts w:ascii="Times New Roman" w:hAnsi="Times New Roman" w:cs="Times New Roman"/>
          <w:sz w:val="20"/>
          <w:lang w:val="en-US"/>
        </w:rPr>
        <w:t>Environmental</w:t>
      </w:r>
      <w:r w:rsidR="00C22DF6" w:rsidRPr="00B04D85">
        <w:rPr>
          <w:rFonts w:ascii="Times New Roman" w:hAnsi="Times New Roman" w:cs="Times New Roman"/>
          <w:sz w:val="20"/>
          <w:lang w:val="en-US"/>
        </w:rPr>
        <w:t xml:space="preserve"> </w:t>
      </w:r>
      <w:r w:rsidR="00C22DF6" w:rsidRPr="00855D07">
        <w:rPr>
          <w:rFonts w:ascii="Times New Roman" w:hAnsi="Times New Roman" w:cs="Times New Roman"/>
          <w:sz w:val="20"/>
          <w:lang w:val="en-US"/>
        </w:rPr>
        <w:t>sustainability</w:t>
      </w:r>
      <w:r w:rsidR="00C22DF6" w:rsidRPr="00B04D85">
        <w:rPr>
          <w:rFonts w:ascii="Times New Roman" w:hAnsi="Times New Roman" w:cs="Times New Roman"/>
          <w:sz w:val="20"/>
          <w:lang w:val="en-US"/>
        </w:rPr>
        <w:t xml:space="preserve"> (0.62)</w:t>
      </w:r>
      <w:r>
        <w:rPr>
          <w:rFonts w:ascii="Times New Roman" w:hAnsi="Times New Roman" w:cs="Times New Roman"/>
          <w:sz w:val="20"/>
          <w:lang w:val="en-US"/>
        </w:rPr>
        <w:t xml:space="preserve"> subsystems have </w:t>
      </w:r>
      <w:r>
        <w:rPr>
          <w:rFonts w:ascii="Times New Roman" w:hAnsi="Times New Roman" w:cs="Times New Roman"/>
          <w:bCs/>
          <w:sz w:val="20"/>
          <w:lang w:val="en-US"/>
        </w:rPr>
        <w:t>significant potentials for the improvement</w:t>
      </w:r>
      <w:r w:rsidR="00C22DF6" w:rsidRPr="00B04D85">
        <w:rPr>
          <w:rFonts w:ascii="Times New Roman" w:hAnsi="Times New Roman" w:cs="Times New Roman"/>
          <w:sz w:val="20"/>
          <w:lang w:val="en-US"/>
        </w:rPr>
        <w:t xml:space="preserve">. </w:t>
      </w:r>
      <w:r w:rsidR="00D46B42">
        <w:rPr>
          <w:rFonts w:ascii="Times New Roman" w:hAnsi="Times New Roman" w:cs="Times New Roman"/>
          <w:sz w:val="20"/>
          <w:lang w:val="en-US"/>
        </w:rPr>
        <w:t>Due to the fact that the E</w:t>
      </w:r>
      <w:r w:rsidR="00D46B42" w:rsidRPr="00D46B42">
        <w:rPr>
          <w:rFonts w:ascii="Times New Roman" w:hAnsi="Times New Roman" w:cs="Times New Roman"/>
          <w:sz w:val="20"/>
          <w:lang w:val="en-US"/>
        </w:rPr>
        <w:t>nergy acces</w:t>
      </w:r>
      <w:r w:rsidR="00906114">
        <w:rPr>
          <w:rFonts w:ascii="Times New Roman" w:hAnsi="Times New Roman" w:cs="Times New Roman"/>
          <w:sz w:val="20"/>
          <w:lang w:val="en-US"/>
        </w:rPr>
        <w:t xml:space="preserve">s and security subsystem is at </w:t>
      </w:r>
      <w:r w:rsidR="00D46B42" w:rsidRPr="00D46B42">
        <w:rPr>
          <w:rFonts w:ascii="Times New Roman" w:hAnsi="Times New Roman" w:cs="Times New Roman"/>
          <w:sz w:val="20"/>
          <w:lang w:val="en-US"/>
        </w:rPr>
        <w:t xml:space="preserve"> very high level in most countries of the world (0.7-0.82), the potentials for improving the state of this subsystem for the whole world are small (0.69).</w:t>
      </w:r>
    </w:p>
    <w:p w:rsidR="0093000C" w:rsidRPr="0093000C" w:rsidRDefault="0093000C" w:rsidP="0093000C">
      <w:pPr>
        <w:spacing w:before="340" w:after="170"/>
        <w:jc w:val="both"/>
        <w:rPr>
          <w:rFonts w:asciiTheme="minorHAnsi" w:hAnsiTheme="minorHAnsi"/>
          <w:sz w:val="20"/>
          <w:lang w:val="en-US"/>
        </w:rPr>
      </w:pPr>
      <w:r w:rsidRPr="0093000C">
        <w:rPr>
          <w:rFonts w:ascii="Arial" w:hAnsi="Arial" w:cs="Arial"/>
          <w:b/>
          <w:szCs w:val="24"/>
          <w:lang w:val="en-US"/>
        </w:rPr>
        <w:t>3</w:t>
      </w:r>
      <w:r w:rsidRPr="00ED1EAA">
        <w:rPr>
          <w:rFonts w:ascii="Arial" w:hAnsi="Arial" w:cs="Arial"/>
          <w:b/>
          <w:szCs w:val="24"/>
          <w:lang w:val="en-US"/>
        </w:rPr>
        <w:t xml:space="preserve"> Energy Architecture Performance Index</w:t>
      </w:r>
      <w:r>
        <w:rPr>
          <w:rFonts w:ascii="Arial" w:hAnsi="Arial" w:cs="Arial"/>
          <w:b/>
          <w:szCs w:val="24"/>
          <w:lang w:val="en-US"/>
        </w:rPr>
        <w:t xml:space="preserve"> of Azerbaijan</w:t>
      </w:r>
    </w:p>
    <w:p w:rsidR="004B180B" w:rsidRPr="00430B71" w:rsidRDefault="00D46B42" w:rsidP="0093000C">
      <w:pPr>
        <w:jc w:val="both"/>
        <w:rPr>
          <w:rFonts w:ascii="Times New Roman" w:hAnsi="Times New Roman" w:cs="Times New Roman"/>
          <w:sz w:val="20"/>
        </w:rPr>
      </w:pPr>
      <w:r w:rsidRPr="00D46B42">
        <w:rPr>
          <w:rFonts w:ascii="Times New Roman" w:hAnsi="Times New Roman" w:cs="Times New Roman"/>
          <w:sz w:val="20"/>
        </w:rPr>
        <w:t>Similar studies have been conducted to determine the efficiency of Azerbaijan's energy sector</w:t>
      </w:r>
      <w:r>
        <w:rPr>
          <w:rFonts w:ascii="Times New Roman" w:hAnsi="Times New Roman" w:cs="Times New Roman"/>
          <w:sz w:val="20"/>
        </w:rPr>
        <w:t xml:space="preserve"> performance</w:t>
      </w:r>
      <w:r w:rsidR="00E33D09">
        <w:rPr>
          <w:rFonts w:ascii="Times New Roman" w:hAnsi="Times New Roman" w:cs="Times New Roman"/>
          <w:sz w:val="20"/>
        </w:rPr>
        <w:t xml:space="preserve"> [7-9]</w:t>
      </w:r>
      <w:r>
        <w:rPr>
          <w:rFonts w:ascii="Times New Roman" w:hAnsi="Times New Roman" w:cs="Times New Roman"/>
          <w:sz w:val="20"/>
        </w:rPr>
        <w:t>.</w:t>
      </w:r>
    </w:p>
    <w:p w:rsidR="0093000C" w:rsidRPr="00E33D09" w:rsidRDefault="00D46B42" w:rsidP="00E33D09">
      <w:pPr>
        <w:ind w:firstLine="284"/>
        <w:jc w:val="both"/>
        <w:rPr>
          <w:rFonts w:ascii="Times New Roman" w:hAnsi="Times New Roman" w:cs="Times New Roman"/>
          <w:sz w:val="20"/>
        </w:rPr>
      </w:pPr>
      <w:r w:rsidRPr="00D46B42">
        <w:rPr>
          <w:rFonts w:ascii="Times New Roman" w:hAnsi="Times New Roman" w:cs="Times New Roman"/>
          <w:sz w:val="20"/>
        </w:rPr>
        <w:t xml:space="preserve">As </w:t>
      </w:r>
      <w:r>
        <w:rPr>
          <w:rFonts w:ascii="Times New Roman" w:hAnsi="Times New Roman" w:cs="Times New Roman"/>
          <w:sz w:val="20"/>
        </w:rPr>
        <w:t>is obvious from F</w:t>
      </w:r>
      <w:r w:rsidRPr="00D46B42">
        <w:rPr>
          <w:rFonts w:ascii="Times New Roman" w:hAnsi="Times New Roman" w:cs="Times New Roman"/>
          <w:sz w:val="20"/>
        </w:rPr>
        <w:t xml:space="preserve">igure 9, during the period under review in 2013-2017, the efficiency of Azerbaijan's energy sector </w:t>
      </w:r>
      <w:r>
        <w:rPr>
          <w:rFonts w:ascii="Times New Roman" w:hAnsi="Times New Roman" w:cs="Times New Roman"/>
          <w:sz w:val="20"/>
        </w:rPr>
        <w:t>performance according to</w:t>
      </w:r>
      <w:r w:rsidRPr="00D46B42">
        <w:rPr>
          <w:rFonts w:ascii="Times New Roman" w:hAnsi="Times New Roman" w:cs="Times New Roman"/>
          <w:sz w:val="20"/>
        </w:rPr>
        <w:t xml:space="preserve"> calculat</w:t>
      </w:r>
      <w:r>
        <w:rPr>
          <w:rFonts w:ascii="Times New Roman" w:hAnsi="Times New Roman" w:cs="Times New Roman"/>
          <w:sz w:val="20"/>
        </w:rPr>
        <w:t>ions of the W</w:t>
      </w:r>
      <w:r w:rsidRPr="00D46B42">
        <w:rPr>
          <w:rFonts w:ascii="Times New Roman" w:hAnsi="Times New Roman" w:cs="Times New Roman"/>
          <w:sz w:val="20"/>
        </w:rPr>
        <w:t xml:space="preserve">orld Economic Forum </w:t>
      </w:r>
      <w:r>
        <w:rPr>
          <w:rFonts w:ascii="Times New Roman" w:hAnsi="Times New Roman" w:cs="Times New Roman"/>
          <w:sz w:val="20"/>
        </w:rPr>
        <w:t>on the</w:t>
      </w:r>
      <w:r w:rsidRPr="00D46B42">
        <w:rPr>
          <w:rFonts w:ascii="Times New Roman" w:hAnsi="Times New Roman" w:cs="Times New Roman"/>
          <w:sz w:val="20"/>
        </w:rPr>
        <w:t xml:space="preserve"> whole showed an increase of 14%, while the "Economic growth and </w:t>
      </w:r>
      <w:r w:rsidRPr="00E33D09">
        <w:rPr>
          <w:rFonts w:ascii="Times New Roman" w:hAnsi="Times New Roman" w:cs="Times New Roman"/>
          <w:sz w:val="20"/>
        </w:rPr>
        <w:t>development" subsystem grew by 38%, the "Environmental sustainability" subsystem by 12%, and "Energy Availability and security" by 1%.</w:t>
      </w:r>
    </w:p>
    <w:p w:rsidR="00E33D09" w:rsidRPr="00E33D09" w:rsidRDefault="00E33D09" w:rsidP="00E33D09">
      <w:pPr>
        <w:spacing w:after="170"/>
        <w:ind w:firstLine="284"/>
        <w:jc w:val="both"/>
        <w:rPr>
          <w:rFonts w:ascii="Times New Roman" w:hAnsi="Times New Roman" w:cs="Times New Roman"/>
          <w:sz w:val="20"/>
        </w:rPr>
      </w:pPr>
      <w:r w:rsidRPr="00E33D09">
        <w:rPr>
          <w:rFonts w:ascii="Times New Roman" w:hAnsi="Times New Roman" w:cs="Times New Roman"/>
          <w:sz w:val="20"/>
        </w:rPr>
        <w:t>It should be noted that according to the same calculations, the numerical values of the Energy Architecture Performance Index of Azerbaijan on the whole as of  2017 are 0.67, and for the subsystems are 0.65, 0.57 and 0.79 respectively.</w:t>
      </w:r>
    </w:p>
    <w:p w:rsidR="00E33D09" w:rsidRPr="00E33D09" w:rsidRDefault="00E33D09" w:rsidP="00BB7FFD">
      <w:pPr>
        <w:spacing w:after="170"/>
        <w:ind w:firstLine="284"/>
        <w:jc w:val="both"/>
        <w:rPr>
          <w:rFonts w:ascii="Times New Roman" w:hAnsi="Times New Roman" w:cs="Times New Roman"/>
          <w:sz w:val="20"/>
        </w:rPr>
      </w:pPr>
    </w:p>
    <w:p w:rsidR="0072565A" w:rsidRPr="00855D07" w:rsidRDefault="00786319" w:rsidP="00004A82">
      <w:pPr>
        <w:jc w:val="both"/>
        <w:rPr>
          <w:rFonts w:ascii="Times New Roman" w:hAnsi="Times New Roman"/>
          <w:sz w:val="20"/>
          <w:lang w:val="ru-RU"/>
        </w:rPr>
      </w:pPr>
      <w:r w:rsidRPr="00786319">
        <w:rPr>
          <w:rFonts w:ascii="Times New Roman" w:hAnsi="Times New Roman"/>
          <w:noProof/>
          <w:sz w:val="20"/>
          <w:lang w:val="en-US" w:eastAsia="en-US"/>
        </w:rPr>
        <w:lastRenderedPageBreak/>
        <w:drawing>
          <wp:inline distT="0" distB="0" distL="0" distR="0">
            <wp:extent cx="2664663" cy="1836000"/>
            <wp:effectExtent l="0" t="0" r="0" b="0"/>
            <wp:docPr id="18"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0445F" w:rsidRPr="007B3E69" w:rsidRDefault="0060445F" w:rsidP="00BB7FFD">
      <w:pPr>
        <w:spacing w:before="170" w:after="170"/>
        <w:jc w:val="both"/>
        <w:rPr>
          <w:rFonts w:ascii="Times New Roman" w:hAnsi="Times New Roman"/>
          <w:sz w:val="18"/>
          <w:szCs w:val="18"/>
          <w:lang w:val="en-US"/>
        </w:rPr>
      </w:pPr>
      <w:r w:rsidRPr="00CA1091">
        <w:rPr>
          <w:rFonts w:ascii="Times New Roman" w:hAnsi="Times New Roman"/>
          <w:b/>
          <w:sz w:val="18"/>
          <w:szCs w:val="18"/>
          <w:lang w:val="en-GB"/>
        </w:rPr>
        <w:t>Fig</w:t>
      </w:r>
      <w:r>
        <w:rPr>
          <w:rFonts w:ascii="Times New Roman" w:hAnsi="Times New Roman"/>
          <w:b/>
          <w:sz w:val="18"/>
          <w:szCs w:val="18"/>
          <w:lang w:val="en-GB"/>
        </w:rPr>
        <w:t>.</w:t>
      </w:r>
      <w:r w:rsidRPr="00CA1091">
        <w:rPr>
          <w:rFonts w:ascii="Times New Roman" w:hAnsi="Times New Roman"/>
          <w:b/>
          <w:sz w:val="18"/>
          <w:szCs w:val="18"/>
          <w:lang w:val="en-GB"/>
        </w:rPr>
        <w:t xml:space="preserve"> </w:t>
      </w:r>
      <w:r>
        <w:rPr>
          <w:rFonts w:ascii="Times New Roman" w:hAnsi="Times New Roman"/>
          <w:b/>
          <w:sz w:val="18"/>
          <w:szCs w:val="18"/>
          <w:lang w:val="en-GB"/>
        </w:rPr>
        <w:t>9</w:t>
      </w:r>
      <w:r w:rsidRPr="00CA1091">
        <w:rPr>
          <w:rFonts w:ascii="Times New Roman" w:hAnsi="Times New Roman"/>
          <w:b/>
          <w:bCs/>
          <w:sz w:val="18"/>
          <w:szCs w:val="18"/>
          <w:lang w:val="en-GB"/>
        </w:rPr>
        <w:t>.</w:t>
      </w:r>
      <w:r w:rsidRPr="00CA1091">
        <w:rPr>
          <w:rFonts w:ascii="Times New Roman" w:hAnsi="Times New Roman"/>
          <w:sz w:val="18"/>
          <w:szCs w:val="18"/>
          <w:lang w:val="en-GB"/>
        </w:rPr>
        <w:t xml:space="preserve"> </w:t>
      </w:r>
      <w:r w:rsidRPr="007B3E69">
        <w:rPr>
          <w:rFonts w:ascii="Times New Roman" w:hAnsi="Times New Roman"/>
          <w:sz w:val="18"/>
          <w:szCs w:val="18"/>
          <w:lang w:val="en-GB"/>
        </w:rPr>
        <w:t>Energy</w:t>
      </w:r>
      <w:r w:rsidRPr="007B3E69">
        <w:rPr>
          <w:rFonts w:ascii="Times New Roman" w:hAnsi="Times New Roman"/>
          <w:sz w:val="18"/>
          <w:szCs w:val="18"/>
          <w:lang w:val="en-US"/>
        </w:rPr>
        <w:t xml:space="preserve"> </w:t>
      </w:r>
      <w:r w:rsidRPr="007B3E69">
        <w:rPr>
          <w:rFonts w:ascii="Times New Roman" w:hAnsi="Times New Roman"/>
          <w:sz w:val="18"/>
          <w:szCs w:val="18"/>
          <w:lang w:val="en-GB"/>
        </w:rPr>
        <w:t>Architecture</w:t>
      </w:r>
      <w:r w:rsidRPr="007B3E69">
        <w:rPr>
          <w:rFonts w:ascii="Times New Roman" w:hAnsi="Times New Roman"/>
          <w:sz w:val="18"/>
          <w:szCs w:val="18"/>
          <w:lang w:val="en-US"/>
        </w:rPr>
        <w:t xml:space="preserve"> </w:t>
      </w:r>
      <w:r w:rsidRPr="007B3E69">
        <w:rPr>
          <w:rFonts w:ascii="Times New Roman" w:hAnsi="Times New Roman"/>
          <w:sz w:val="18"/>
          <w:szCs w:val="18"/>
          <w:lang w:val="en-GB"/>
        </w:rPr>
        <w:t>Performance</w:t>
      </w:r>
      <w:r w:rsidRPr="007B3E69">
        <w:rPr>
          <w:rFonts w:ascii="Times New Roman" w:hAnsi="Times New Roman"/>
          <w:sz w:val="18"/>
          <w:szCs w:val="18"/>
          <w:lang w:val="en-US"/>
        </w:rPr>
        <w:t xml:space="preserve"> </w:t>
      </w:r>
      <w:r w:rsidRPr="007B3E69">
        <w:rPr>
          <w:rFonts w:ascii="Times New Roman" w:hAnsi="Times New Roman"/>
          <w:sz w:val="18"/>
          <w:szCs w:val="18"/>
          <w:lang w:val="en-GB"/>
        </w:rPr>
        <w:t>Index</w:t>
      </w:r>
      <w:r>
        <w:rPr>
          <w:rFonts w:ascii="Times New Roman" w:hAnsi="Times New Roman"/>
          <w:sz w:val="18"/>
          <w:szCs w:val="18"/>
          <w:lang w:val="en-GB"/>
        </w:rPr>
        <w:t xml:space="preserve"> of Azerbaijan</w:t>
      </w:r>
    </w:p>
    <w:p w:rsidR="004B180B" w:rsidRPr="003613B6" w:rsidRDefault="00D46B42" w:rsidP="004B180B">
      <w:pPr>
        <w:ind w:firstLine="284"/>
        <w:jc w:val="both"/>
        <w:rPr>
          <w:sz w:val="20"/>
        </w:rPr>
      </w:pPr>
      <w:r w:rsidRPr="00D46B42">
        <w:rPr>
          <w:sz w:val="20"/>
        </w:rPr>
        <w:t xml:space="preserve">During the period under review, the efficiency of Azerbaijan's energy sector </w:t>
      </w:r>
      <w:r w:rsidR="0005757C">
        <w:rPr>
          <w:sz w:val="20"/>
        </w:rPr>
        <w:t xml:space="preserve">performance </w:t>
      </w:r>
      <w:r w:rsidRPr="00D46B42">
        <w:rPr>
          <w:sz w:val="20"/>
        </w:rPr>
        <w:t>has significantly increased in the rating of countries. If in 2013 Azerbaijan was ranked 42</w:t>
      </w:r>
      <w:r w:rsidRPr="0005757C">
        <w:rPr>
          <w:sz w:val="20"/>
          <w:vertAlign w:val="superscript"/>
        </w:rPr>
        <w:t>nd</w:t>
      </w:r>
      <w:r w:rsidRPr="00D46B42">
        <w:rPr>
          <w:sz w:val="20"/>
        </w:rPr>
        <w:t xml:space="preserve"> among 105 countries, </w:t>
      </w:r>
      <w:r w:rsidR="0005757C">
        <w:rPr>
          <w:sz w:val="20"/>
        </w:rPr>
        <w:t>then</w:t>
      </w:r>
      <w:r w:rsidRPr="00D46B42">
        <w:rPr>
          <w:sz w:val="20"/>
        </w:rPr>
        <w:t xml:space="preserve"> in 2017 it was ranked 36</w:t>
      </w:r>
      <w:r w:rsidRPr="0005757C">
        <w:rPr>
          <w:sz w:val="20"/>
          <w:vertAlign w:val="superscript"/>
        </w:rPr>
        <w:t>th</w:t>
      </w:r>
      <w:r w:rsidRPr="00D46B42">
        <w:rPr>
          <w:sz w:val="20"/>
        </w:rPr>
        <w:t xml:space="preserve"> among 127 countries</w:t>
      </w:r>
      <w:r w:rsidR="0005757C">
        <w:rPr>
          <w:sz w:val="20"/>
        </w:rPr>
        <w:t>.</w:t>
      </w:r>
    </w:p>
    <w:p w:rsidR="00106CA2" w:rsidRDefault="0005757C" w:rsidP="004B180B">
      <w:pPr>
        <w:ind w:firstLine="284"/>
        <w:jc w:val="both"/>
        <w:rPr>
          <w:sz w:val="20"/>
        </w:rPr>
      </w:pPr>
      <w:r>
        <w:rPr>
          <w:sz w:val="20"/>
        </w:rPr>
        <w:t>During t</w:t>
      </w:r>
      <w:r w:rsidRPr="0005757C">
        <w:rPr>
          <w:sz w:val="20"/>
        </w:rPr>
        <w:t xml:space="preserve">he analysis </w:t>
      </w:r>
      <w:r>
        <w:rPr>
          <w:sz w:val="20"/>
        </w:rPr>
        <w:t>it was found that the research of the W</w:t>
      </w:r>
      <w:r w:rsidRPr="0005757C">
        <w:rPr>
          <w:sz w:val="20"/>
        </w:rPr>
        <w:t xml:space="preserve">orld Economic Forum was incomplete, since the values of some indicators for evaluating the values of individual subsystems are not available, which led to inaccuracies in the assessment of both individual subsystems and the resulting value of the efficiency of </w:t>
      </w:r>
    </w:p>
    <w:p w:rsidR="004B180B" w:rsidRPr="0005757C" w:rsidRDefault="0005757C" w:rsidP="00906114">
      <w:pPr>
        <w:jc w:val="both"/>
        <w:rPr>
          <w:rFonts w:asciiTheme="minorHAnsi" w:hAnsiTheme="minorHAnsi"/>
          <w:sz w:val="20"/>
          <w:lang w:val="en-US"/>
        </w:rPr>
      </w:pPr>
      <w:r w:rsidRPr="0005757C">
        <w:rPr>
          <w:sz w:val="20"/>
        </w:rPr>
        <w:t xml:space="preserve">the energy sector </w:t>
      </w:r>
      <w:r>
        <w:rPr>
          <w:sz w:val="20"/>
        </w:rPr>
        <w:t xml:space="preserve">performance </w:t>
      </w:r>
      <w:r w:rsidRPr="0005757C">
        <w:rPr>
          <w:sz w:val="20"/>
        </w:rPr>
        <w:t>of Azerbaijan.</w:t>
      </w:r>
    </w:p>
    <w:p w:rsidR="004B180B" w:rsidRPr="0005757C" w:rsidRDefault="0005757C" w:rsidP="004B180B">
      <w:pPr>
        <w:ind w:firstLine="284"/>
        <w:jc w:val="both"/>
        <w:rPr>
          <w:rFonts w:ascii="Times New Roman" w:hAnsi="Times New Roman" w:cs="Times New Roman"/>
          <w:sz w:val="20"/>
          <w:lang w:val="en-US"/>
        </w:rPr>
      </w:pPr>
      <w:r w:rsidRPr="0005757C">
        <w:rPr>
          <w:rFonts w:ascii="Times New Roman" w:hAnsi="Times New Roman" w:cs="Times New Roman"/>
          <w:sz w:val="20"/>
          <w:lang w:val="en-US"/>
        </w:rPr>
        <w:t xml:space="preserve">Below are </w:t>
      </w:r>
      <w:r>
        <w:rPr>
          <w:rFonts w:ascii="Times New Roman" w:hAnsi="Times New Roman" w:cs="Times New Roman"/>
          <w:sz w:val="20"/>
          <w:lang w:val="en-US"/>
        </w:rPr>
        <w:t>curves of</w:t>
      </w:r>
      <w:r w:rsidRPr="0005757C">
        <w:rPr>
          <w:rFonts w:ascii="Times New Roman" w:hAnsi="Times New Roman" w:cs="Times New Roman"/>
          <w:sz w:val="20"/>
          <w:lang w:val="en-US"/>
        </w:rPr>
        <w:t xml:space="preserve"> some indicators included in the subsystems of energy </w:t>
      </w:r>
      <w:r>
        <w:rPr>
          <w:rFonts w:ascii="Times New Roman" w:hAnsi="Times New Roman" w:cs="Times New Roman"/>
          <w:sz w:val="20"/>
          <w:lang w:val="en-US"/>
        </w:rPr>
        <w:t xml:space="preserve">performance </w:t>
      </w:r>
      <w:r w:rsidRPr="0005757C">
        <w:rPr>
          <w:rFonts w:ascii="Times New Roman" w:hAnsi="Times New Roman" w:cs="Times New Roman"/>
          <w:sz w:val="20"/>
          <w:lang w:val="en-US"/>
        </w:rPr>
        <w:t>efficiency in Azerbaijan</w:t>
      </w:r>
      <w:r>
        <w:rPr>
          <w:rFonts w:ascii="Times New Roman" w:hAnsi="Times New Roman" w:cs="Times New Roman"/>
          <w:sz w:val="20"/>
          <w:lang w:val="en-US"/>
        </w:rPr>
        <w:t>.</w:t>
      </w:r>
    </w:p>
    <w:p w:rsidR="00193646" w:rsidRPr="00346842" w:rsidRDefault="00346842" w:rsidP="00254788">
      <w:pPr>
        <w:spacing w:after="170"/>
        <w:ind w:firstLine="284"/>
        <w:jc w:val="both"/>
        <w:rPr>
          <w:rFonts w:ascii="Times New Roman" w:hAnsi="Times New Roman" w:cs="Times New Roman"/>
          <w:sz w:val="20"/>
          <w:lang w:val="en-US"/>
        </w:rPr>
      </w:pPr>
      <w:r>
        <w:rPr>
          <w:rFonts w:ascii="Times New Roman" w:hAnsi="Times New Roman" w:cs="Times New Roman"/>
          <w:sz w:val="20"/>
          <w:lang w:val="en-US"/>
        </w:rPr>
        <w:t xml:space="preserve">The </w:t>
      </w:r>
      <w:r w:rsidR="00AE1235">
        <w:rPr>
          <w:rFonts w:ascii="Times New Roman" w:hAnsi="Times New Roman" w:cs="Times New Roman"/>
          <w:sz w:val="20"/>
          <w:lang w:val="en-US"/>
        </w:rPr>
        <w:t>chart</w:t>
      </w:r>
      <w:r w:rsidRPr="00346842">
        <w:rPr>
          <w:rFonts w:ascii="Times New Roman" w:hAnsi="Times New Roman" w:cs="Times New Roman"/>
          <w:sz w:val="20"/>
          <w:lang w:val="en-US"/>
        </w:rPr>
        <w:t xml:space="preserve"> of </w:t>
      </w:r>
      <w:r>
        <w:rPr>
          <w:rFonts w:ascii="Times New Roman" w:hAnsi="Times New Roman" w:cs="Times New Roman"/>
          <w:sz w:val="20"/>
          <w:lang w:val="en-US"/>
        </w:rPr>
        <w:t>E</w:t>
      </w:r>
      <w:r w:rsidRPr="00346842">
        <w:rPr>
          <w:rFonts w:ascii="Times New Roman" w:hAnsi="Times New Roman" w:cs="Times New Roman"/>
          <w:sz w:val="20"/>
          <w:lang w:val="en-US"/>
        </w:rPr>
        <w:t>nergy intensity indicator, which is part of the</w:t>
      </w:r>
      <w:r>
        <w:rPr>
          <w:rFonts w:ascii="Times New Roman" w:hAnsi="Times New Roman" w:cs="Times New Roman"/>
          <w:sz w:val="20"/>
          <w:lang w:val="en-US"/>
        </w:rPr>
        <w:t xml:space="preserve"> E</w:t>
      </w:r>
      <w:r w:rsidRPr="00346842">
        <w:rPr>
          <w:rFonts w:ascii="Times New Roman" w:hAnsi="Times New Roman" w:cs="Times New Roman"/>
          <w:sz w:val="20"/>
          <w:lang w:val="en-US"/>
        </w:rPr>
        <w:t>conomic growth and development subsystem</w:t>
      </w:r>
      <w:r>
        <w:rPr>
          <w:rFonts w:ascii="Times New Roman" w:hAnsi="Times New Roman" w:cs="Times New Roman"/>
          <w:sz w:val="20"/>
          <w:lang w:val="en-US"/>
        </w:rPr>
        <w:t>, is presented in Figure 10</w:t>
      </w:r>
      <w:r w:rsidRPr="00346842">
        <w:rPr>
          <w:rFonts w:ascii="Times New Roman" w:hAnsi="Times New Roman" w:cs="Times New Roman"/>
          <w:sz w:val="20"/>
          <w:lang w:val="en-US"/>
        </w:rPr>
        <w:t>.</w:t>
      </w:r>
      <w:r w:rsidR="00996CF2" w:rsidRPr="0005757C">
        <w:rPr>
          <w:rFonts w:ascii="Times New Roman" w:hAnsi="Times New Roman" w:cs="Times New Roman"/>
          <w:sz w:val="20"/>
          <w:lang w:val="en-US"/>
        </w:rPr>
        <w:t xml:space="preserve"> </w:t>
      </w:r>
      <w:r>
        <w:rPr>
          <w:rFonts w:ascii="Times New Roman" w:hAnsi="Times New Roman" w:cs="Times New Roman"/>
          <w:sz w:val="20"/>
          <w:lang w:val="en-US"/>
        </w:rPr>
        <w:t xml:space="preserve">As is obvious from the </w:t>
      </w:r>
      <w:r w:rsidR="00AE1235">
        <w:rPr>
          <w:rFonts w:ascii="Times New Roman" w:hAnsi="Times New Roman" w:cs="Times New Roman"/>
          <w:sz w:val="20"/>
          <w:lang w:val="en-US"/>
        </w:rPr>
        <w:t>chart</w:t>
      </w:r>
      <w:r w:rsidR="00996CF2" w:rsidRPr="00346842">
        <w:rPr>
          <w:rFonts w:ascii="Times New Roman" w:hAnsi="Times New Roman" w:cs="Times New Roman"/>
          <w:sz w:val="20"/>
          <w:lang w:val="en-US"/>
        </w:rPr>
        <w:t xml:space="preserve">, </w:t>
      </w:r>
      <w:r>
        <w:rPr>
          <w:rFonts w:ascii="Times New Roman" w:hAnsi="Times New Roman" w:cs="Times New Roman"/>
          <w:sz w:val="20"/>
          <w:lang w:val="en-US"/>
        </w:rPr>
        <w:t xml:space="preserve">the </w:t>
      </w:r>
      <w:r w:rsidR="00996CF2" w:rsidRPr="00996CF2">
        <w:rPr>
          <w:rFonts w:ascii="Times New Roman" w:hAnsi="Times New Roman" w:cs="Times New Roman"/>
          <w:sz w:val="20"/>
        </w:rPr>
        <w:t>Energy intensity</w:t>
      </w:r>
      <w:r w:rsidR="00996CF2" w:rsidRPr="00346842">
        <w:rPr>
          <w:rFonts w:ascii="Times New Roman" w:hAnsi="Times New Roman" w:cs="Times New Roman"/>
          <w:sz w:val="20"/>
          <w:lang w:val="en-US"/>
        </w:rPr>
        <w:t xml:space="preserve"> </w:t>
      </w:r>
      <w:r>
        <w:rPr>
          <w:rFonts w:ascii="Times New Roman" w:hAnsi="Times New Roman" w:cs="Times New Roman"/>
          <w:sz w:val="20"/>
          <w:lang w:val="en-US"/>
        </w:rPr>
        <w:t>indicator value in</w:t>
      </w:r>
      <w:r w:rsidR="00996CF2" w:rsidRPr="00346842">
        <w:rPr>
          <w:rFonts w:ascii="Times New Roman" w:hAnsi="Times New Roman" w:cs="Times New Roman"/>
          <w:sz w:val="20"/>
          <w:lang w:val="en-US"/>
        </w:rPr>
        <w:t xml:space="preserve"> 2018 </w:t>
      </w:r>
      <w:r>
        <w:rPr>
          <w:rFonts w:ascii="Times New Roman" w:hAnsi="Times New Roman" w:cs="Times New Roman"/>
          <w:sz w:val="20"/>
          <w:lang w:val="en-US"/>
        </w:rPr>
        <w:t>increased almost by 25% compared to 2010</w:t>
      </w:r>
      <w:r w:rsidR="007A6290" w:rsidRPr="00346842">
        <w:rPr>
          <w:rFonts w:ascii="Times New Roman" w:hAnsi="Times New Roman" w:cs="Times New Roman"/>
          <w:sz w:val="20"/>
          <w:lang w:val="en-US"/>
        </w:rPr>
        <w:t xml:space="preserve">. </w:t>
      </w:r>
      <w:r w:rsidRPr="00346842">
        <w:rPr>
          <w:rFonts w:ascii="Times New Roman" w:hAnsi="Times New Roman" w:cs="Times New Roman"/>
          <w:sz w:val="20"/>
          <w:lang w:val="en-US"/>
        </w:rPr>
        <w:t xml:space="preserve">It should be noted that this </w:t>
      </w:r>
      <w:r>
        <w:rPr>
          <w:rFonts w:ascii="Times New Roman" w:hAnsi="Times New Roman" w:cs="Times New Roman"/>
          <w:sz w:val="20"/>
          <w:lang w:val="en-US"/>
        </w:rPr>
        <w:t>occurred</w:t>
      </w:r>
      <w:r w:rsidRPr="00346842">
        <w:rPr>
          <w:rFonts w:ascii="Times New Roman" w:hAnsi="Times New Roman" w:cs="Times New Roman"/>
          <w:sz w:val="20"/>
          <w:lang w:val="en-US"/>
        </w:rPr>
        <w:t xml:space="preserve"> mainly due to diversification </w:t>
      </w:r>
      <w:r>
        <w:rPr>
          <w:rFonts w:ascii="Times New Roman" w:hAnsi="Times New Roman" w:cs="Times New Roman"/>
          <w:sz w:val="20"/>
          <w:lang w:val="en-US"/>
        </w:rPr>
        <w:t xml:space="preserve">of economy </w:t>
      </w:r>
      <w:r w:rsidRPr="00346842">
        <w:rPr>
          <w:rFonts w:ascii="Times New Roman" w:hAnsi="Times New Roman" w:cs="Times New Roman"/>
          <w:sz w:val="20"/>
          <w:lang w:val="en-US"/>
        </w:rPr>
        <w:t>and sustainable development of non-oil sector</w:t>
      </w:r>
      <w:r w:rsidR="00E33D09">
        <w:rPr>
          <w:rFonts w:ascii="Times New Roman" w:hAnsi="Times New Roman" w:cs="Times New Roman"/>
          <w:sz w:val="20"/>
          <w:lang w:val="en-US"/>
        </w:rPr>
        <w:t xml:space="preserve"> [</w:t>
      </w:r>
      <w:r w:rsidR="009C0954">
        <w:rPr>
          <w:rFonts w:ascii="Times New Roman" w:hAnsi="Times New Roman" w:cs="Times New Roman"/>
          <w:sz w:val="20"/>
          <w:lang w:val="en-US"/>
        </w:rPr>
        <w:t>10-14</w:t>
      </w:r>
      <w:r w:rsidR="00E33D09">
        <w:rPr>
          <w:rFonts w:ascii="Times New Roman" w:hAnsi="Times New Roman" w:cs="Times New Roman"/>
          <w:sz w:val="20"/>
          <w:lang w:val="en-US"/>
        </w:rPr>
        <w:t>]</w:t>
      </w:r>
      <w:r>
        <w:rPr>
          <w:rFonts w:ascii="Times New Roman" w:hAnsi="Times New Roman" w:cs="Times New Roman"/>
          <w:sz w:val="20"/>
          <w:lang w:val="en-US"/>
        </w:rPr>
        <w:t>.</w:t>
      </w:r>
      <w:r w:rsidR="00996CF2" w:rsidRPr="00346842">
        <w:rPr>
          <w:rFonts w:ascii="Times New Roman" w:hAnsi="Times New Roman" w:cs="Times New Roman"/>
          <w:sz w:val="20"/>
          <w:lang w:val="en-US"/>
        </w:rPr>
        <w:t xml:space="preserve"> </w:t>
      </w:r>
    </w:p>
    <w:p w:rsidR="004B180B" w:rsidRDefault="006E0F1D" w:rsidP="005663AD">
      <w:pPr>
        <w:jc w:val="both"/>
        <w:rPr>
          <w:rFonts w:asciiTheme="minorHAnsi" w:hAnsiTheme="minorHAnsi"/>
          <w:sz w:val="20"/>
          <w:lang w:val="ru-RU"/>
        </w:rPr>
      </w:pPr>
      <w:r w:rsidRPr="006E0F1D">
        <w:rPr>
          <w:rFonts w:asciiTheme="minorHAnsi" w:hAnsiTheme="minorHAnsi"/>
          <w:noProof/>
          <w:sz w:val="20"/>
          <w:lang w:val="en-US" w:eastAsia="en-US"/>
        </w:rPr>
        <w:drawing>
          <wp:inline distT="0" distB="0" distL="0" distR="0">
            <wp:extent cx="2664663" cy="18720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0445F" w:rsidRPr="0060445F" w:rsidRDefault="0060445F" w:rsidP="00254788">
      <w:pPr>
        <w:spacing w:before="170" w:after="170"/>
        <w:jc w:val="both"/>
        <w:rPr>
          <w:rFonts w:ascii="Times New Roman" w:hAnsi="Times New Roman" w:cs="Times New Roman"/>
          <w:sz w:val="18"/>
          <w:szCs w:val="18"/>
          <w:lang w:val="en-US"/>
        </w:rPr>
      </w:pPr>
      <w:r w:rsidRPr="0060445F">
        <w:rPr>
          <w:rFonts w:ascii="Times New Roman" w:hAnsi="Times New Roman" w:cs="Times New Roman"/>
          <w:b/>
          <w:sz w:val="18"/>
          <w:szCs w:val="18"/>
          <w:lang w:val="en-GB"/>
        </w:rPr>
        <w:t>Fig. 10</w:t>
      </w:r>
      <w:r w:rsidRPr="0060445F">
        <w:rPr>
          <w:rFonts w:ascii="Times New Roman" w:hAnsi="Times New Roman" w:cs="Times New Roman"/>
          <w:b/>
          <w:bCs/>
          <w:sz w:val="18"/>
          <w:szCs w:val="18"/>
          <w:lang w:val="en-GB"/>
        </w:rPr>
        <w:t>.</w:t>
      </w:r>
      <w:r w:rsidRPr="0060445F">
        <w:rPr>
          <w:rFonts w:ascii="Times New Roman" w:hAnsi="Times New Roman" w:cs="Times New Roman"/>
          <w:sz w:val="18"/>
          <w:szCs w:val="18"/>
          <w:lang w:val="en-GB"/>
        </w:rPr>
        <w:t xml:space="preserve"> </w:t>
      </w:r>
      <w:r w:rsidRPr="0060445F">
        <w:rPr>
          <w:rFonts w:ascii="Times New Roman" w:hAnsi="Times New Roman" w:cs="Times New Roman"/>
          <w:bCs/>
          <w:sz w:val="18"/>
          <w:szCs w:val="18"/>
          <w:lang w:val="en-US"/>
        </w:rPr>
        <w:t>Energy intensity (GDP per unit of energy use)</w:t>
      </w:r>
      <w:r w:rsidRPr="0060445F">
        <w:rPr>
          <w:rFonts w:ascii="Times New Roman" w:hAnsi="Times New Roman" w:cs="Times New Roman"/>
          <w:b/>
          <w:bCs/>
          <w:sz w:val="18"/>
          <w:szCs w:val="18"/>
          <w:lang w:val="en-US"/>
        </w:rPr>
        <w:t xml:space="preserve"> </w:t>
      </w:r>
    </w:p>
    <w:p w:rsidR="004B180B" w:rsidRPr="005063C2" w:rsidRDefault="00346842" w:rsidP="00254788">
      <w:pPr>
        <w:spacing w:after="170"/>
        <w:ind w:firstLine="284"/>
        <w:jc w:val="both"/>
        <w:rPr>
          <w:rFonts w:ascii="Times New Roman" w:hAnsi="Times New Roman" w:cs="Times New Roman"/>
          <w:sz w:val="20"/>
          <w:lang w:val="en-US"/>
        </w:rPr>
      </w:pPr>
      <w:r>
        <w:rPr>
          <w:rFonts w:ascii="Times New Roman" w:hAnsi="Times New Roman" w:cs="Times New Roman"/>
          <w:sz w:val="20"/>
          <w:lang w:val="en-US"/>
        </w:rPr>
        <w:t>Another indicator from the</w:t>
      </w:r>
      <w:r w:rsidR="007A6290" w:rsidRPr="007A6290">
        <w:rPr>
          <w:rFonts w:ascii="Times New Roman" w:hAnsi="Times New Roman" w:cs="Times New Roman"/>
          <w:sz w:val="20"/>
          <w:lang w:val="en-US"/>
        </w:rPr>
        <w:t xml:space="preserve"> </w:t>
      </w:r>
      <w:r w:rsidR="007A6290" w:rsidRPr="007A6290">
        <w:rPr>
          <w:rFonts w:ascii="Times New Roman" w:hAnsi="Times New Roman" w:cs="Times New Roman"/>
          <w:sz w:val="20"/>
        </w:rPr>
        <w:t>Economic growth and development</w:t>
      </w:r>
      <w:r w:rsidR="007A6290" w:rsidRPr="007A6290">
        <w:rPr>
          <w:rFonts w:ascii="Times New Roman" w:hAnsi="Times New Roman" w:cs="Times New Roman"/>
          <w:sz w:val="20"/>
          <w:lang w:val="en-US"/>
        </w:rPr>
        <w:t xml:space="preserve"> </w:t>
      </w:r>
      <w:r>
        <w:rPr>
          <w:rFonts w:ascii="Times New Roman" w:hAnsi="Times New Roman" w:cs="Times New Roman"/>
          <w:sz w:val="20"/>
          <w:lang w:val="en-US"/>
        </w:rPr>
        <w:t xml:space="preserve">subsystem is </w:t>
      </w:r>
      <w:r w:rsidR="007A6290" w:rsidRPr="007A6290">
        <w:rPr>
          <w:rFonts w:ascii="Times New Roman" w:hAnsi="Times New Roman" w:cs="Times New Roman"/>
          <w:sz w:val="20"/>
        </w:rPr>
        <w:t>Electricity prices for industry (US$ per kilowatt-hour)</w:t>
      </w:r>
      <w:r w:rsidR="007A6290" w:rsidRPr="007A6290">
        <w:rPr>
          <w:rFonts w:ascii="Times New Roman" w:hAnsi="Times New Roman" w:cs="Times New Roman"/>
          <w:sz w:val="20"/>
          <w:lang w:val="en-US"/>
        </w:rPr>
        <w:t xml:space="preserve">, </w:t>
      </w:r>
      <w:r>
        <w:rPr>
          <w:rFonts w:ascii="Times New Roman" w:hAnsi="Times New Roman" w:cs="Times New Roman"/>
          <w:sz w:val="20"/>
          <w:lang w:val="en-US"/>
        </w:rPr>
        <w:t>which is not taken into account in the</w:t>
      </w:r>
      <w:r w:rsidR="007A6290">
        <w:rPr>
          <w:rFonts w:ascii="Times New Roman" w:hAnsi="Times New Roman" w:cs="Times New Roman"/>
          <w:sz w:val="20"/>
          <w:lang w:val="en-US"/>
        </w:rPr>
        <w:t xml:space="preserve"> WEF</w:t>
      </w:r>
      <w:r>
        <w:rPr>
          <w:rFonts w:ascii="Times New Roman" w:hAnsi="Times New Roman" w:cs="Times New Roman"/>
          <w:sz w:val="20"/>
          <w:lang w:val="en-US"/>
        </w:rPr>
        <w:t xml:space="preserve"> report</w:t>
      </w:r>
      <w:r w:rsidR="007A6290" w:rsidRPr="007A6290">
        <w:rPr>
          <w:rFonts w:ascii="Times New Roman" w:hAnsi="Times New Roman" w:cs="Times New Roman"/>
          <w:sz w:val="20"/>
          <w:lang w:val="en-US"/>
        </w:rPr>
        <w:t xml:space="preserve">. </w:t>
      </w:r>
    </w:p>
    <w:p w:rsidR="007861B2" w:rsidRPr="007B3E69" w:rsidRDefault="00542872" w:rsidP="007A6290">
      <w:pPr>
        <w:ind w:firstLine="284"/>
        <w:jc w:val="both"/>
        <w:rPr>
          <w:rFonts w:ascii="Times New Roman" w:hAnsi="Times New Roman" w:cs="Times New Roman"/>
          <w:sz w:val="20"/>
          <w:lang w:val="ru-RU"/>
        </w:rPr>
      </w:pPr>
      <w:r w:rsidRPr="00542872">
        <w:rPr>
          <w:rFonts w:ascii="Times New Roman" w:hAnsi="Times New Roman" w:cs="Times New Roman"/>
          <w:noProof/>
          <w:sz w:val="20"/>
          <w:lang w:val="en-US" w:eastAsia="en-US"/>
        </w:rPr>
        <w:lastRenderedPageBreak/>
        <w:drawing>
          <wp:inline distT="0" distB="0" distL="0" distR="0">
            <wp:extent cx="2664663" cy="1800000"/>
            <wp:effectExtent l="0" t="0" r="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F4AEF" w:rsidRDefault="0060445F" w:rsidP="00254788">
      <w:pPr>
        <w:spacing w:before="170" w:after="170"/>
        <w:ind w:firstLine="284"/>
        <w:jc w:val="both"/>
        <w:rPr>
          <w:rFonts w:ascii="Times New Roman" w:hAnsi="Times New Roman" w:cs="Times New Roman"/>
          <w:bCs/>
          <w:sz w:val="18"/>
          <w:szCs w:val="18"/>
          <w:lang w:val="en-US"/>
        </w:rPr>
      </w:pPr>
      <w:r w:rsidRPr="0060445F">
        <w:rPr>
          <w:rFonts w:ascii="Times New Roman" w:hAnsi="Times New Roman" w:cs="Times New Roman"/>
          <w:b/>
          <w:sz w:val="18"/>
          <w:szCs w:val="18"/>
          <w:lang w:val="en-GB"/>
        </w:rPr>
        <w:t>Fig. 1</w:t>
      </w:r>
      <w:r w:rsidR="00254788">
        <w:rPr>
          <w:rFonts w:ascii="Times New Roman" w:hAnsi="Times New Roman" w:cs="Times New Roman"/>
          <w:b/>
          <w:sz w:val="18"/>
          <w:szCs w:val="18"/>
          <w:lang w:val="en-GB"/>
        </w:rPr>
        <w:t>1</w:t>
      </w:r>
      <w:r w:rsidRPr="0060445F">
        <w:rPr>
          <w:rFonts w:ascii="Times New Roman" w:hAnsi="Times New Roman" w:cs="Times New Roman"/>
          <w:b/>
          <w:bCs/>
          <w:sz w:val="18"/>
          <w:szCs w:val="18"/>
          <w:lang w:val="en-GB"/>
        </w:rPr>
        <w:t>.</w:t>
      </w:r>
      <w:r w:rsidRPr="0060445F">
        <w:rPr>
          <w:rFonts w:ascii="Times New Roman" w:hAnsi="Times New Roman" w:cs="Times New Roman"/>
          <w:sz w:val="18"/>
          <w:szCs w:val="18"/>
          <w:lang w:val="en-GB"/>
        </w:rPr>
        <w:t xml:space="preserve"> </w:t>
      </w:r>
      <w:r>
        <w:rPr>
          <w:rFonts w:ascii="Times New Roman" w:hAnsi="Times New Roman" w:cs="Times New Roman"/>
          <w:bCs/>
          <w:sz w:val="18"/>
          <w:szCs w:val="18"/>
          <w:lang w:val="en-US"/>
        </w:rPr>
        <w:t>E</w:t>
      </w:r>
      <w:r w:rsidRPr="0060445F">
        <w:rPr>
          <w:rFonts w:ascii="Times New Roman" w:hAnsi="Times New Roman" w:cs="Times New Roman"/>
          <w:bCs/>
          <w:sz w:val="18"/>
          <w:szCs w:val="18"/>
          <w:lang w:val="en-US"/>
        </w:rPr>
        <w:t>lectricity tariff in Azerbaijan</w:t>
      </w:r>
    </w:p>
    <w:p w:rsidR="00254788" w:rsidRDefault="00254788" w:rsidP="007A6290">
      <w:pPr>
        <w:ind w:firstLine="284"/>
        <w:jc w:val="both"/>
        <w:rPr>
          <w:rFonts w:ascii="Times New Roman" w:hAnsi="Times New Roman" w:cs="Times New Roman"/>
          <w:sz w:val="20"/>
          <w:lang w:val="en-US"/>
        </w:rPr>
      </w:pPr>
      <w:r>
        <w:rPr>
          <w:rFonts w:ascii="Times New Roman" w:hAnsi="Times New Roman" w:cs="Times New Roman"/>
          <w:sz w:val="20"/>
          <w:lang w:val="en-US"/>
        </w:rPr>
        <w:t>The</w:t>
      </w:r>
      <w:r w:rsidRPr="00346842">
        <w:rPr>
          <w:rFonts w:ascii="Times New Roman" w:hAnsi="Times New Roman" w:cs="Times New Roman"/>
          <w:sz w:val="20"/>
          <w:lang w:val="en-US"/>
        </w:rPr>
        <w:t xml:space="preserve"> </w:t>
      </w:r>
      <w:r>
        <w:rPr>
          <w:rFonts w:ascii="Times New Roman" w:hAnsi="Times New Roman" w:cs="Times New Roman"/>
          <w:sz w:val="20"/>
          <w:lang w:val="en-US"/>
        </w:rPr>
        <w:t>“</w:t>
      </w:r>
      <w:r w:rsidRPr="007A6290">
        <w:rPr>
          <w:rFonts w:ascii="Times New Roman" w:hAnsi="Times New Roman" w:cs="Times New Roman"/>
          <w:sz w:val="20"/>
        </w:rPr>
        <w:t>Electricity prices for industry</w:t>
      </w:r>
      <w:r>
        <w:rPr>
          <w:rFonts w:ascii="Times New Roman" w:hAnsi="Times New Roman" w:cs="Times New Roman"/>
          <w:sz w:val="20"/>
        </w:rPr>
        <w:t>’</w:t>
      </w:r>
      <w:r w:rsidRPr="00346842">
        <w:rPr>
          <w:rFonts w:ascii="Times New Roman" w:hAnsi="Times New Roman" w:cs="Times New Roman"/>
          <w:sz w:val="20"/>
          <w:lang w:val="en-US"/>
        </w:rPr>
        <w:t xml:space="preserve"> </w:t>
      </w:r>
      <w:r>
        <w:rPr>
          <w:rFonts w:ascii="Times New Roman" w:hAnsi="Times New Roman" w:cs="Times New Roman"/>
          <w:sz w:val="20"/>
          <w:lang w:val="en-US"/>
        </w:rPr>
        <w:t>for Azerbaijan is presented in the Figure 11.</w:t>
      </w:r>
      <w:r w:rsidRPr="00346842">
        <w:rPr>
          <w:rFonts w:ascii="Times New Roman" w:hAnsi="Times New Roman" w:cs="Times New Roman"/>
          <w:sz w:val="20"/>
          <w:lang w:val="en-US"/>
        </w:rPr>
        <w:t xml:space="preserve"> </w:t>
      </w:r>
      <w:r>
        <w:rPr>
          <w:rFonts w:ascii="Times New Roman" w:hAnsi="Times New Roman" w:cs="Times New Roman"/>
          <w:sz w:val="20"/>
          <w:lang w:val="en-US"/>
        </w:rPr>
        <w:t>As</w:t>
      </w:r>
      <w:r w:rsidRPr="00346842">
        <w:rPr>
          <w:rFonts w:ascii="Times New Roman" w:hAnsi="Times New Roman" w:cs="Times New Roman"/>
          <w:sz w:val="20"/>
          <w:lang w:val="en-US"/>
        </w:rPr>
        <w:t xml:space="preserve"> </w:t>
      </w:r>
      <w:r>
        <w:rPr>
          <w:rFonts w:ascii="Times New Roman" w:hAnsi="Times New Roman" w:cs="Times New Roman"/>
          <w:sz w:val="20"/>
          <w:lang w:val="en-US"/>
        </w:rPr>
        <w:t>is</w:t>
      </w:r>
      <w:r w:rsidRPr="00346842">
        <w:rPr>
          <w:rFonts w:ascii="Times New Roman" w:hAnsi="Times New Roman" w:cs="Times New Roman"/>
          <w:sz w:val="20"/>
          <w:lang w:val="en-US"/>
        </w:rPr>
        <w:t xml:space="preserve"> </w:t>
      </w:r>
      <w:r>
        <w:rPr>
          <w:rFonts w:ascii="Times New Roman" w:hAnsi="Times New Roman" w:cs="Times New Roman"/>
          <w:sz w:val="20"/>
          <w:lang w:val="en-US"/>
        </w:rPr>
        <w:t>obvious</w:t>
      </w:r>
      <w:r w:rsidRPr="00346842">
        <w:rPr>
          <w:rFonts w:ascii="Times New Roman" w:hAnsi="Times New Roman" w:cs="Times New Roman"/>
          <w:sz w:val="20"/>
          <w:lang w:val="en-US"/>
        </w:rPr>
        <w:t xml:space="preserve"> </w:t>
      </w:r>
      <w:r>
        <w:rPr>
          <w:rFonts w:ascii="Times New Roman" w:hAnsi="Times New Roman" w:cs="Times New Roman"/>
          <w:sz w:val="20"/>
          <w:lang w:val="en-US"/>
        </w:rPr>
        <w:t>from</w:t>
      </w:r>
      <w:r w:rsidRPr="00346842">
        <w:rPr>
          <w:rFonts w:ascii="Times New Roman" w:hAnsi="Times New Roman" w:cs="Times New Roman"/>
          <w:sz w:val="20"/>
          <w:lang w:val="en-US"/>
        </w:rPr>
        <w:t xml:space="preserve"> </w:t>
      </w:r>
      <w:r>
        <w:rPr>
          <w:rFonts w:ascii="Times New Roman" w:hAnsi="Times New Roman" w:cs="Times New Roman"/>
          <w:sz w:val="20"/>
          <w:lang w:val="en-US"/>
        </w:rPr>
        <w:t>the</w:t>
      </w:r>
      <w:r w:rsidRPr="00346842">
        <w:rPr>
          <w:rFonts w:ascii="Times New Roman" w:hAnsi="Times New Roman" w:cs="Times New Roman"/>
          <w:sz w:val="20"/>
          <w:lang w:val="en-US"/>
        </w:rPr>
        <w:t xml:space="preserve"> </w:t>
      </w:r>
      <w:r>
        <w:rPr>
          <w:rFonts w:ascii="Times New Roman" w:hAnsi="Times New Roman" w:cs="Times New Roman"/>
          <w:sz w:val="20"/>
          <w:lang w:val="en-US"/>
        </w:rPr>
        <w:t>figure</w:t>
      </w:r>
      <w:r w:rsidRPr="00346842">
        <w:rPr>
          <w:rFonts w:ascii="Times New Roman" w:hAnsi="Times New Roman" w:cs="Times New Roman"/>
          <w:sz w:val="20"/>
          <w:lang w:val="en-US"/>
        </w:rPr>
        <w:t>,</w:t>
      </w:r>
      <w:r>
        <w:rPr>
          <w:rFonts w:ascii="Times New Roman" w:hAnsi="Times New Roman" w:cs="Times New Roman"/>
          <w:sz w:val="20"/>
          <w:lang w:val="en-US"/>
        </w:rPr>
        <w:t xml:space="preserve"> since 2016 </w:t>
      </w:r>
      <w:r w:rsidRPr="00346842">
        <w:rPr>
          <w:rFonts w:ascii="Times New Roman" w:hAnsi="Times New Roman" w:cs="Times New Roman"/>
          <w:sz w:val="20"/>
          <w:lang w:val="en-US"/>
        </w:rPr>
        <w:t xml:space="preserve">the price of electricity for industry has </w:t>
      </w:r>
      <w:r>
        <w:rPr>
          <w:rFonts w:ascii="Times New Roman" w:hAnsi="Times New Roman" w:cs="Times New Roman"/>
          <w:sz w:val="20"/>
          <w:lang w:val="en-US"/>
        </w:rPr>
        <w:t>dropped</w:t>
      </w:r>
      <w:r w:rsidRPr="00346842">
        <w:rPr>
          <w:rFonts w:ascii="Times New Roman" w:hAnsi="Times New Roman" w:cs="Times New Roman"/>
          <w:sz w:val="20"/>
          <w:lang w:val="en-US"/>
        </w:rPr>
        <w:t xml:space="preserve"> by almost 25% from $ 0.07 per kWh to $ 0.053 per kWh, indicating a high level of this indicator</w:t>
      </w:r>
      <w:r>
        <w:rPr>
          <w:rFonts w:ascii="Times New Roman" w:hAnsi="Times New Roman" w:cs="Times New Roman"/>
          <w:sz w:val="20"/>
          <w:lang w:val="en-US"/>
        </w:rPr>
        <w:t>.</w:t>
      </w:r>
    </w:p>
    <w:p w:rsidR="00421A29" w:rsidRPr="00CC721E" w:rsidRDefault="00F02175" w:rsidP="007A6290">
      <w:pPr>
        <w:ind w:firstLine="284"/>
        <w:jc w:val="both"/>
        <w:rPr>
          <w:rFonts w:ascii="Times New Roman" w:hAnsi="Times New Roman" w:cs="Times New Roman"/>
          <w:sz w:val="20"/>
          <w:lang w:val="en-US"/>
        </w:rPr>
      </w:pPr>
      <w:r>
        <w:rPr>
          <w:rFonts w:ascii="Times New Roman" w:hAnsi="Times New Roman" w:cs="Times New Roman"/>
          <w:sz w:val="20"/>
          <w:lang w:val="en-US"/>
        </w:rPr>
        <w:t>Another indicator of this subsystem is</w:t>
      </w:r>
      <w:r w:rsidR="00E73F3F" w:rsidRPr="00F02175">
        <w:rPr>
          <w:rFonts w:ascii="Times New Roman" w:hAnsi="Times New Roman" w:cs="Times New Roman"/>
          <w:sz w:val="20"/>
          <w:lang w:val="en-US"/>
        </w:rPr>
        <w:t xml:space="preserve"> </w:t>
      </w:r>
      <w:r w:rsidR="00CC721E">
        <w:rPr>
          <w:rFonts w:ascii="Times New Roman" w:hAnsi="Times New Roman" w:cs="Times New Roman"/>
          <w:sz w:val="20"/>
        </w:rPr>
        <w:t>cost of E</w:t>
      </w:r>
      <w:r w:rsidR="00E73F3F" w:rsidRPr="00E73F3F">
        <w:rPr>
          <w:rFonts w:ascii="Times New Roman" w:hAnsi="Times New Roman" w:cs="Times New Roman"/>
          <w:sz w:val="20"/>
        </w:rPr>
        <w:t>nergy imports (% GDP)</w:t>
      </w:r>
      <w:r w:rsidR="00E73F3F" w:rsidRPr="00F02175">
        <w:rPr>
          <w:rFonts w:ascii="Times New Roman" w:hAnsi="Times New Roman" w:cs="Times New Roman"/>
          <w:sz w:val="20"/>
          <w:lang w:val="en-US"/>
        </w:rPr>
        <w:t xml:space="preserve">. </w:t>
      </w:r>
      <w:r w:rsidR="00CC721E" w:rsidRPr="00CC721E">
        <w:rPr>
          <w:rFonts w:ascii="Times New Roman" w:hAnsi="Times New Roman" w:cs="Times New Roman"/>
          <w:sz w:val="20"/>
          <w:lang w:val="en-US"/>
        </w:rPr>
        <w:t>As a result of the formal approach, the value of this indicator in the WEF report is shown as 0.28, which worsens the resulting value of the subsystem under consideration</w:t>
      </w:r>
      <w:r w:rsidR="00E73F3F" w:rsidRPr="00CC721E">
        <w:rPr>
          <w:rFonts w:ascii="Times New Roman" w:hAnsi="Times New Roman" w:cs="Times New Roman"/>
          <w:sz w:val="20"/>
          <w:lang w:val="en-US"/>
        </w:rPr>
        <w:t xml:space="preserve">. </w:t>
      </w:r>
      <w:r w:rsidR="00CC721E">
        <w:rPr>
          <w:rFonts w:ascii="Times New Roman" w:hAnsi="Times New Roman" w:cs="Times New Roman"/>
          <w:sz w:val="20"/>
          <w:lang w:val="en-US"/>
        </w:rPr>
        <w:t>Analysis</w:t>
      </w:r>
      <w:r w:rsidR="00CC721E" w:rsidRPr="00CC721E">
        <w:rPr>
          <w:rFonts w:ascii="Times New Roman" w:hAnsi="Times New Roman" w:cs="Times New Roman"/>
          <w:sz w:val="20"/>
          <w:lang w:val="en-US"/>
        </w:rPr>
        <w:t xml:space="preserve"> </w:t>
      </w:r>
      <w:r w:rsidR="00CC721E">
        <w:rPr>
          <w:rFonts w:ascii="Times New Roman" w:hAnsi="Times New Roman" w:cs="Times New Roman"/>
          <w:sz w:val="20"/>
          <w:lang w:val="en-US"/>
        </w:rPr>
        <w:t>of</w:t>
      </w:r>
      <w:r w:rsidR="00CC721E" w:rsidRPr="00CC721E">
        <w:rPr>
          <w:rFonts w:ascii="Times New Roman" w:hAnsi="Times New Roman" w:cs="Times New Roman"/>
          <w:sz w:val="20"/>
          <w:lang w:val="en-US"/>
        </w:rPr>
        <w:t xml:space="preserve"> </w:t>
      </w:r>
      <w:r w:rsidR="00CC721E">
        <w:rPr>
          <w:rFonts w:ascii="Times New Roman" w:hAnsi="Times New Roman" w:cs="Times New Roman"/>
          <w:sz w:val="20"/>
          <w:lang w:val="en-US"/>
        </w:rPr>
        <w:t>the</w:t>
      </w:r>
      <w:r w:rsidR="00CC721E" w:rsidRPr="00CC721E">
        <w:rPr>
          <w:rFonts w:ascii="Times New Roman" w:hAnsi="Times New Roman" w:cs="Times New Roman"/>
          <w:sz w:val="20"/>
          <w:lang w:val="en-US"/>
        </w:rPr>
        <w:t xml:space="preserve"> </w:t>
      </w:r>
      <w:r w:rsidR="00CC721E">
        <w:rPr>
          <w:rFonts w:ascii="Times New Roman" w:hAnsi="Times New Roman" w:cs="Times New Roman"/>
          <w:sz w:val="20"/>
        </w:rPr>
        <w:t>E</w:t>
      </w:r>
      <w:r w:rsidR="00E73F3F" w:rsidRPr="00E73F3F">
        <w:rPr>
          <w:rFonts w:ascii="Times New Roman" w:hAnsi="Times New Roman" w:cs="Times New Roman"/>
          <w:sz w:val="20"/>
        </w:rPr>
        <w:t>nergy imports</w:t>
      </w:r>
      <w:r w:rsidR="00E73F3F" w:rsidRPr="00CC721E">
        <w:rPr>
          <w:rFonts w:ascii="Times New Roman" w:hAnsi="Times New Roman" w:cs="Times New Roman"/>
          <w:sz w:val="20"/>
          <w:lang w:val="en-US"/>
        </w:rPr>
        <w:t xml:space="preserve"> </w:t>
      </w:r>
      <w:r w:rsidR="00CC721E">
        <w:rPr>
          <w:rFonts w:ascii="Times New Roman" w:hAnsi="Times New Roman" w:cs="Times New Roman"/>
          <w:sz w:val="20"/>
          <w:lang w:val="en-US"/>
        </w:rPr>
        <w:t>indicates</w:t>
      </w:r>
      <w:r w:rsidR="00CC721E" w:rsidRPr="00CC721E">
        <w:rPr>
          <w:rFonts w:ascii="Times New Roman" w:hAnsi="Times New Roman" w:cs="Times New Roman"/>
          <w:sz w:val="20"/>
          <w:lang w:val="en-US"/>
        </w:rPr>
        <w:t xml:space="preserve"> </w:t>
      </w:r>
      <w:r w:rsidR="00CC721E">
        <w:rPr>
          <w:rFonts w:ascii="Times New Roman" w:hAnsi="Times New Roman" w:cs="Times New Roman"/>
          <w:sz w:val="20"/>
          <w:lang w:val="en-US"/>
        </w:rPr>
        <w:t>that</w:t>
      </w:r>
      <w:r w:rsidR="00CC721E" w:rsidRPr="00CC721E">
        <w:rPr>
          <w:rFonts w:ascii="Times New Roman" w:hAnsi="Times New Roman" w:cs="Times New Roman"/>
          <w:sz w:val="20"/>
          <w:lang w:val="en-US"/>
        </w:rPr>
        <w:t xml:space="preserve"> the import of energy resources in Azerbaijan has increased in recent years (2016-2018) due to </w:t>
      </w:r>
      <w:r w:rsidR="00CC721E">
        <w:rPr>
          <w:rFonts w:ascii="Times New Roman" w:hAnsi="Times New Roman" w:cs="Times New Roman"/>
          <w:sz w:val="20"/>
          <w:lang w:val="en-US"/>
        </w:rPr>
        <w:t>the</w:t>
      </w:r>
      <w:r w:rsidR="00CC721E" w:rsidRPr="00CC721E">
        <w:rPr>
          <w:rFonts w:ascii="Times New Roman" w:hAnsi="Times New Roman" w:cs="Times New Roman"/>
          <w:sz w:val="20"/>
          <w:lang w:val="en-US"/>
        </w:rPr>
        <w:t xml:space="preserve"> increase in natural gas import</w:t>
      </w:r>
      <w:r w:rsidR="00CC721E">
        <w:rPr>
          <w:rFonts w:ascii="Times New Roman" w:hAnsi="Times New Roman" w:cs="Times New Roman"/>
          <w:sz w:val="20"/>
          <w:lang w:val="en-US"/>
        </w:rPr>
        <w:t>. T</w:t>
      </w:r>
      <w:r w:rsidR="00CC721E" w:rsidRPr="00CC721E">
        <w:rPr>
          <w:rFonts w:ascii="Times New Roman" w:hAnsi="Times New Roman" w:cs="Times New Roman"/>
          <w:sz w:val="20"/>
          <w:lang w:val="en-US"/>
        </w:rPr>
        <w:t xml:space="preserve">he energy balance of natural gas </w:t>
      </w:r>
      <w:r w:rsidR="00CC721E">
        <w:rPr>
          <w:rFonts w:ascii="Times New Roman" w:hAnsi="Times New Roman" w:cs="Times New Roman"/>
          <w:sz w:val="20"/>
          <w:lang w:val="en-US"/>
        </w:rPr>
        <w:t xml:space="preserve">of Azerbaijan is shown in Table 1. </w:t>
      </w:r>
    </w:p>
    <w:p w:rsidR="00421A29" w:rsidRPr="00935EC2" w:rsidRDefault="00421A29" w:rsidP="00421A29">
      <w:pPr>
        <w:spacing w:before="170" w:after="170"/>
        <w:ind w:firstLine="284"/>
        <w:jc w:val="both"/>
        <w:rPr>
          <w:rFonts w:ascii="Times New Roman" w:hAnsi="Times New Roman" w:cs="Times New Roman"/>
          <w:sz w:val="20"/>
          <w:lang w:val="en-US"/>
        </w:rPr>
      </w:pPr>
      <w:r w:rsidRPr="00CA1091">
        <w:rPr>
          <w:rFonts w:ascii="Times" w:hAnsi="Times"/>
          <w:b/>
          <w:bCs/>
          <w:iCs/>
          <w:sz w:val="18"/>
          <w:szCs w:val="16"/>
          <w:lang w:val="en-GB"/>
        </w:rPr>
        <w:t xml:space="preserve">Table </w:t>
      </w:r>
      <w:r w:rsidR="001C33B2">
        <w:rPr>
          <w:rFonts w:ascii="Times" w:hAnsi="Times"/>
          <w:b/>
          <w:bCs/>
          <w:iCs/>
          <w:sz w:val="18"/>
          <w:szCs w:val="16"/>
          <w:lang w:val="en-GB"/>
        </w:rPr>
        <w:t>1</w:t>
      </w:r>
      <w:r w:rsidRPr="00CA1091">
        <w:rPr>
          <w:rFonts w:ascii="Times" w:hAnsi="Times"/>
          <w:b/>
          <w:bCs/>
          <w:iCs/>
          <w:sz w:val="18"/>
          <w:szCs w:val="16"/>
          <w:lang w:val="en-GB"/>
        </w:rPr>
        <w:t>.</w:t>
      </w:r>
      <w:r w:rsidRPr="00CA1091">
        <w:rPr>
          <w:rFonts w:ascii="Times" w:hAnsi="Times"/>
          <w:iCs/>
          <w:sz w:val="18"/>
          <w:szCs w:val="16"/>
          <w:lang w:val="en-GB"/>
        </w:rPr>
        <w:t xml:space="preserve"> </w:t>
      </w:r>
      <w:r w:rsidR="00935EC2">
        <w:rPr>
          <w:rFonts w:ascii="Times" w:hAnsi="Times"/>
          <w:iCs/>
          <w:sz w:val="18"/>
          <w:szCs w:val="16"/>
          <w:lang w:val="en-GB"/>
        </w:rPr>
        <w:t>N</w:t>
      </w:r>
      <w:r w:rsidR="00935EC2" w:rsidRPr="00935EC2">
        <w:rPr>
          <w:rFonts w:ascii="Times" w:hAnsi="Times"/>
          <w:iCs/>
          <w:sz w:val="18"/>
          <w:szCs w:val="16"/>
          <w:lang w:val="en-GB"/>
        </w:rPr>
        <w:t>atural gas</w:t>
      </w:r>
      <w:r w:rsidR="00935EC2">
        <w:rPr>
          <w:rFonts w:ascii="Times" w:hAnsi="Times"/>
          <w:iCs/>
          <w:sz w:val="18"/>
          <w:szCs w:val="16"/>
          <w:lang w:val="en-GB"/>
        </w:rPr>
        <w:t>, mln</w:t>
      </w:r>
      <w:r w:rsidR="00CC721E">
        <w:rPr>
          <w:rFonts w:ascii="Times" w:hAnsi="Times"/>
          <w:iCs/>
          <w:sz w:val="18"/>
          <w:szCs w:val="16"/>
          <w:lang w:val="en-GB"/>
        </w:rPr>
        <w:t>.</w:t>
      </w:r>
      <w:r w:rsidR="00935EC2" w:rsidRPr="00935EC2">
        <w:rPr>
          <w:rFonts w:ascii="Times" w:hAnsi="Times"/>
          <w:iCs/>
          <w:sz w:val="18"/>
          <w:szCs w:val="16"/>
          <w:lang w:val="en-GB"/>
        </w:rPr>
        <w:t>cubic meters</w:t>
      </w:r>
    </w:p>
    <w:tbl>
      <w:tblPr>
        <w:tblStyle w:val="af1"/>
        <w:tblW w:w="0" w:type="auto"/>
        <w:tblInd w:w="250" w:type="dxa"/>
        <w:tblLook w:val="04A0"/>
      </w:tblPr>
      <w:tblGrid>
        <w:gridCol w:w="1843"/>
        <w:gridCol w:w="834"/>
        <w:gridCol w:w="834"/>
        <w:gridCol w:w="834"/>
      </w:tblGrid>
      <w:tr w:rsidR="00421A29" w:rsidRPr="00421A29" w:rsidTr="007057B5">
        <w:trPr>
          <w:trHeight w:val="283"/>
        </w:trPr>
        <w:tc>
          <w:tcPr>
            <w:tcW w:w="1843" w:type="dxa"/>
          </w:tcPr>
          <w:p w:rsidR="00421A29" w:rsidRPr="00935EC2" w:rsidRDefault="00421A29" w:rsidP="007A6290">
            <w:pPr>
              <w:jc w:val="both"/>
              <w:rPr>
                <w:rFonts w:ascii="Times New Roman" w:hAnsi="Times New Roman" w:cs="Times New Roman"/>
                <w:sz w:val="18"/>
                <w:szCs w:val="18"/>
                <w:lang w:val="en-US"/>
              </w:rPr>
            </w:pPr>
          </w:p>
        </w:tc>
        <w:tc>
          <w:tcPr>
            <w:tcW w:w="834" w:type="dxa"/>
            <w:vAlign w:val="center"/>
          </w:tcPr>
          <w:p w:rsidR="00421A29" w:rsidRPr="00421A29" w:rsidRDefault="00421A29" w:rsidP="007057B5">
            <w:pPr>
              <w:jc w:val="center"/>
              <w:rPr>
                <w:rFonts w:ascii="Times New Roman" w:hAnsi="Times New Roman" w:cs="Times New Roman"/>
                <w:b/>
                <w:sz w:val="18"/>
                <w:szCs w:val="18"/>
                <w:lang w:val="ru-RU"/>
              </w:rPr>
            </w:pPr>
            <w:r w:rsidRPr="00421A29">
              <w:rPr>
                <w:rFonts w:ascii="Times New Roman" w:hAnsi="Times New Roman" w:cs="Times New Roman"/>
                <w:b/>
                <w:sz w:val="18"/>
                <w:szCs w:val="18"/>
                <w:lang w:val="ru-RU"/>
              </w:rPr>
              <w:t>2016</w:t>
            </w:r>
          </w:p>
        </w:tc>
        <w:tc>
          <w:tcPr>
            <w:tcW w:w="834" w:type="dxa"/>
            <w:vAlign w:val="center"/>
          </w:tcPr>
          <w:p w:rsidR="00421A29" w:rsidRPr="00421A29" w:rsidRDefault="00421A29" w:rsidP="007057B5">
            <w:pPr>
              <w:jc w:val="center"/>
              <w:rPr>
                <w:rFonts w:ascii="Times New Roman" w:hAnsi="Times New Roman" w:cs="Times New Roman"/>
                <w:b/>
                <w:sz w:val="18"/>
                <w:szCs w:val="18"/>
                <w:lang w:val="ru-RU"/>
              </w:rPr>
            </w:pPr>
            <w:r w:rsidRPr="00421A29">
              <w:rPr>
                <w:rFonts w:ascii="Times New Roman" w:hAnsi="Times New Roman" w:cs="Times New Roman"/>
                <w:b/>
                <w:sz w:val="18"/>
                <w:szCs w:val="18"/>
                <w:lang w:val="ru-RU"/>
              </w:rPr>
              <w:t>2017</w:t>
            </w:r>
          </w:p>
        </w:tc>
        <w:tc>
          <w:tcPr>
            <w:tcW w:w="834" w:type="dxa"/>
            <w:vAlign w:val="center"/>
          </w:tcPr>
          <w:p w:rsidR="00421A29" w:rsidRPr="00421A29" w:rsidRDefault="00421A29" w:rsidP="007057B5">
            <w:pPr>
              <w:jc w:val="center"/>
              <w:rPr>
                <w:rFonts w:ascii="Times New Roman" w:hAnsi="Times New Roman" w:cs="Times New Roman"/>
                <w:b/>
                <w:sz w:val="18"/>
                <w:szCs w:val="18"/>
                <w:lang w:val="ru-RU"/>
              </w:rPr>
            </w:pPr>
            <w:r w:rsidRPr="00421A29">
              <w:rPr>
                <w:rFonts w:ascii="Times New Roman" w:hAnsi="Times New Roman" w:cs="Times New Roman"/>
                <w:b/>
                <w:sz w:val="18"/>
                <w:szCs w:val="18"/>
                <w:lang w:val="ru-RU"/>
              </w:rPr>
              <w:t>2018</w:t>
            </w:r>
          </w:p>
        </w:tc>
      </w:tr>
      <w:tr w:rsidR="00421A29" w:rsidRPr="00421A29" w:rsidTr="007057B5">
        <w:trPr>
          <w:trHeight w:val="283"/>
        </w:trPr>
        <w:tc>
          <w:tcPr>
            <w:tcW w:w="1843" w:type="dxa"/>
            <w:vAlign w:val="center"/>
          </w:tcPr>
          <w:p w:rsidR="00421A29" w:rsidRPr="00421A29" w:rsidRDefault="00421A29" w:rsidP="007057B5">
            <w:pPr>
              <w:rPr>
                <w:rFonts w:ascii="Times New Roman" w:hAnsi="Times New Roman" w:cs="Times New Roman"/>
                <w:sz w:val="18"/>
                <w:szCs w:val="18"/>
              </w:rPr>
            </w:pPr>
            <w:r>
              <w:rPr>
                <w:rFonts w:ascii="Times New Roman" w:hAnsi="Times New Roman" w:cs="Times New Roman"/>
                <w:sz w:val="18"/>
                <w:szCs w:val="18"/>
                <w:lang w:val="en-US"/>
              </w:rPr>
              <w:t>P</w:t>
            </w:r>
            <w:r w:rsidRPr="00421A29">
              <w:rPr>
                <w:rFonts w:ascii="Times New Roman" w:hAnsi="Times New Roman" w:cs="Times New Roman"/>
                <w:sz w:val="18"/>
                <w:szCs w:val="18"/>
              </w:rPr>
              <w:t>roduction</w:t>
            </w:r>
          </w:p>
        </w:tc>
        <w:tc>
          <w:tcPr>
            <w:tcW w:w="834" w:type="dxa"/>
            <w:vAlign w:val="center"/>
          </w:tcPr>
          <w:p w:rsidR="00421A29" w:rsidRPr="00421A29" w:rsidRDefault="00421A29" w:rsidP="007057B5">
            <w:pPr>
              <w:jc w:val="center"/>
              <w:rPr>
                <w:rFonts w:ascii="Times New Roman" w:hAnsi="Times New Roman" w:cs="Times New Roman"/>
                <w:sz w:val="18"/>
                <w:szCs w:val="18"/>
                <w:lang w:val="en-US"/>
              </w:rPr>
            </w:pPr>
            <w:r>
              <w:rPr>
                <w:rFonts w:ascii="Times New Roman" w:hAnsi="Times New Roman" w:cs="Times New Roman"/>
                <w:sz w:val="18"/>
                <w:szCs w:val="18"/>
                <w:lang w:val="en-US"/>
              </w:rPr>
              <w:t>18717.6</w:t>
            </w:r>
          </w:p>
        </w:tc>
        <w:tc>
          <w:tcPr>
            <w:tcW w:w="834" w:type="dxa"/>
            <w:vAlign w:val="center"/>
          </w:tcPr>
          <w:p w:rsidR="00421A29" w:rsidRPr="00421A29" w:rsidRDefault="00421A29" w:rsidP="007057B5">
            <w:pPr>
              <w:jc w:val="center"/>
              <w:rPr>
                <w:rFonts w:ascii="Times New Roman" w:hAnsi="Times New Roman" w:cs="Times New Roman"/>
                <w:sz w:val="18"/>
                <w:szCs w:val="18"/>
                <w:lang w:val="en-US"/>
              </w:rPr>
            </w:pPr>
            <w:r>
              <w:rPr>
                <w:rFonts w:ascii="Times New Roman" w:hAnsi="Times New Roman" w:cs="Times New Roman"/>
                <w:sz w:val="18"/>
                <w:szCs w:val="18"/>
                <w:lang w:val="en-US"/>
              </w:rPr>
              <w:t>18186</w:t>
            </w:r>
          </w:p>
        </w:tc>
        <w:tc>
          <w:tcPr>
            <w:tcW w:w="834" w:type="dxa"/>
            <w:vAlign w:val="center"/>
          </w:tcPr>
          <w:p w:rsidR="00421A29" w:rsidRPr="00421A29" w:rsidRDefault="00421A29" w:rsidP="007057B5">
            <w:pPr>
              <w:jc w:val="center"/>
              <w:rPr>
                <w:rFonts w:ascii="Times New Roman" w:hAnsi="Times New Roman" w:cs="Times New Roman"/>
                <w:sz w:val="18"/>
                <w:szCs w:val="18"/>
                <w:lang w:val="en-US"/>
              </w:rPr>
            </w:pPr>
            <w:r>
              <w:rPr>
                <w:rFonts w:ascii="Times New Roman" w:hAnsi="Times New Roman" w:cs="Times New Roman"/>
                <w:sz w:val="18"/>
                <w:szCs w:val="18"/>
                <w:lang w:val="en-US"/>
              </w:rPr>
              <w:t>19207.1</w:t>
            </w:r>
          </w:p>
        </w:tc>
      </w:tr>
      <w:tr w:rsidR="00421A29" w:rsidRPr="00421A29" w:rsidTr="007057B5">
        <w:trPr>
          <w:trHeight w:val="283"/>
        </w:trPr>
        <w:tc>
          <w:tcPr>
            <w:tcW w:w="1843" w:type="dxa"/>
            <w:vAlign w:val="center"/>
          </w:tcPr>
          <w:p w:rsidR="00421A29" w:rsidRPr="00421A29" w:rsidRDefault="00421A29" w:rsidP="007057B5">
            <w:pPr>
              <w:rPr>
                <w:rFonts w:ascii="Times New Roman" w:hAnsi="Times New Roman" w:cs="Times New Roman"/>
                <w:sz w:val="18"/>
                <w:szCs w:val="18"/>
              </w:rPr>
            </w:pPr>
            <w:r>
              <w:rPr>
                <w:rFonts w:ascii="Times New Roman" w:hAnsi="Times New Roman" w:cs="Times New Roman"/>
                <w:sz w:val="18"/>
                <w:szCs w:val="18"/>
              </w:rPr>
              <w:t>I</w:t>
            </w:r>
            <w:r w:rsidRPr="00421A29">
              <w:rPr>
                <w:rFonts w:ascii="Times New Roman" w:hAnsi="Times New Roman" w:cs="Times New Roman"/>
                <w:sz w:val="18"/>
                <w:szCs w:val="18"/>
              </w:rPr>
              <w:t>mport</w:t>
            </w:r>
          </w:p>
        </w:tc>
        <w:tc>
          <w:tcPr>
            <w:tcW w:w="834" w:type="dxa"/>
            <w:vAlign w:val="center"/>
          </w:tcPr>
          <w:p w:rsidR="00421A29" w:rsidRPr="00421A29" w:rsidRDefault="00421A29" w:rsidP="007057B5">
            <w:pPr>
              <w:jc w:val="center"/>
              <w:rPr>
                <w:rFonts w:ascii="Times New Roman" w:hAnsi="Times New Roman" w:cs="Times New Roman"/>
                <w:sz w:val="18"/>
                <w:szCs w:val="18"/>
                <w:lang w:val="en-US"/>
              </w:rPr>
            </w:pPr>
            <w:r>
              <w:rPr>
                <w:rFonts w:ascii="Times New Roman" w:hAnsi="Times New Roman" w:cs="Times New Roman"/>
                <w:sz w:val="18"/>
                <w:szCs w:val="18"/>
                <w:lang w:val="en-US"/>
              </w:rPr>
              <w:t>298.4</w:t>
            </w:r>
          </w:p>
        </w:tc>
        <w:tc>
          <w:tcPr>
            <w:tcW w:w="834" w:type="dxa"/>
            <w:vAlign w:val="center"/>
          </w:tcPr>
          <w:p w:rsidR="00421A29" w:rsidRPr="00421A29" w:rsidRDefault="00421A29" w:rsidP="007057B5">
            <w:pPr>
              <w:jc w:val="center"/>
              <w:rPr>
                <w:rFonts w:ascii="Times New Roman" w:hAnsi="Times New Roman" w:cs="Times New Roman"/>
                <w:sz w:val="18"/>
                <w:szCs w:val="18"/>
                <w:lang w:val="en-US"/>
              </w:rPr>
            </w:pPr>
            <w:r>
              <w:rPr>
                <w:rFonts w:ascii="Times New Roman" w:hAnsi="Times New Roman" w:cs="Times New Roman"/>
                <w:sz w:val="18"/>
                <w:szCs w:val="18"/>
                <w:lang w:val="en-US"/>
              </w:rPr>
              <w:t>2109.9</w:t>
            </w:r>
          </w:p>
        </w:tc>
        <w:tc>
          <w:tcPr>
            <w:tcW w:w="834" w:type="dxa"/>
            <w:vAlign w:val="center"/>
          </w:tcPr>
          <w:p w:rsidR="00421A29" w:rsidRPr="00421A29" w:rsidRDefault="00421A29" w:rsidP="007057B5">
            <w:pPr>
              <w:jc w:val="center"/>
              <w:rPr>
                <w:rFonts w:ascii="Times New Roman" w:hAnsi="Times New Roman" w:cs="Times New Roman"/>
                <w:sz w:val="18"/>
                <w:szCs w:val="18"/>
                <w:lang w:val="en-US"/>
              </w:rPr>
            </w:pPr>
            <w:r>
              <w:rPr>
                <w:rFonts w:ascii="Times New Roman" w:hAnsi="Times New Roman" w:cs="Times New Roman"/>
                <w:sz w:val="18"/>
                <w:szCs w:val="18"/>
                <w:lang w:val="en-US"/>
              </w:rPr>
              <w:t>1798.2</w:t>
            </w:r>
          </w:p>
        </w:tc>
      </w:tr>
      <w:tr w:rsidR="00421A29" w:rsidRPr="00421A29" w:rsidTr="007057B5">
        <w:trPr>
          <w:trHeight w:val="283"/>
        </w:trPr>
        <w:tc>
          <w:tcPr>
            <w:tcW w:w="1843" w:type="dxa"/>
            <w:vAlign w:val="center"/>
          </w:tcPr>
          <w:p w:rsidR="00421A29" w:rsidRPr="00421A29" w:rsidRDefault="00421A29" w:rsidP="007057B5">
            <w:pPr>
              <w:rPr>
                <w:rFonts w:ascii="Times New Roman" w:hAnsi="Times New Roman" w:cs="Times New Roman"/>
                <w:sz w:val="18"/>
                <w:szCs w:val="18"/>
              </w:rPr>
            </w:pPr>
            <w:r>
              <w:rPr>
                <w:rFonts w:ascii="Times New Roman" w:hAnsi="Times New Roman" w:cs="Times New Roman"/>
                <w:sz w:val="18"/>
                <w:szCs w:val="18"/>
              </w:rPr>
              <w:t>E</w:t>
            </w:r>
            <w:r w:rsidRPr="00421A29">
              <w:rPr>
                <w:rFonts w:ascii="Times New Roman" w:hAnsi="Times New Roman" w:cs="Times New Roman"/>
                <w:sz w:val="18"/>
                <w:szCs w:val="18"/>
              </w:rPr>
              <w:t>xport</w:t>
            </w:r>
          </w:p>
        </w:tc>
        <w:tc>
          <w:tcPr>
            <w:tcW w:w="834" w:type="dxa"/>
            <w:vAlign w:val="center"/>
          </w:tcPr>
          <w:p w:rsidR="00421A29" w:rsidRPr="00421A29" w:rsidRDefault="00421A29" w:rsidP="007057B5">
            <w:pPr>
              <w:jc w:val="center"/>
              <w:rPr>
                <w:rFonts w:ascii="Times New Roman" w:hAnsi="Times New Roman" w:cs="Times New Roman"/>
                <w:sz w:val="18"/>
                <w:szCs w:val="18"/>
                <w:lang w:val="en-US"/>
              </w:rPr>
            </w:pPr>
            <w:r>
              <w:rPr>
                <w:rFonts w:ascii="Times New Roman" w:hAnsi="Times New Roman" w:cs="Times New Roman"/>
                <w:sz w:val="18"/>
                <w:szCs w:val="18"/>
                <w:lang w:val="en-US"/>
              </w:rPr>
              <w:t>8049.1</w:t>
            </w:r>
          </w:p>
        </w:tc>
        <w:tc>
          <w:tcPr>
            <w:tcW w:w="834" w:type="dxa"/>
            <w:vAlign w:val="center"/>
          </w:tcPr>
          <w:p w:rsidR="00421A29" w:rsidRPr="00421A29" w:rsidRDefault="00421A29" w:rsidP="007057B5">
            <w:pPr>
              <w:jc w:val="center"/>
              <w:rPr>
                <w:rFonts w:ascii="Times New Roman" w:hAnsi="Times New Roman" w:cs="Times New Roman"/>
                <w:sz w:val="18"/>
                <w:szCs w:val="18"/>
                <w:lang w:val="en-US"/>
              </w:rPr>
            </w:pPr>
            <w:r>
              <w:rPr>
                <w:rFonts w:ascii="Times New Roman" w:hAnsi="Times New Roman" w:cs="Times New Roman"/>
                <w:sz w:val="18"/>
                <w:szCs w:val="18"/>
                <w:lang w:val="en-US"/>
              </w:rPr>
              <w:t>8556.9</w:t>
            </w:r>
          </w:p>
        </w:tc>
        <w:tc>
          <w:tcPr>
            <w:tcW w:w="834" w:type="dxa"/>
            <w:vAlign w:val="center"/>
          </w:tcPr>
          <w:p w:rsidR="00421A29" w:rsidRPr="00421A29" w:rsidRDefault="00421A29" w:rsidP="007057B5">
            <w:pPr>
              <w:jc w:val="center"/>
              <w:rPr>
                <w:rFonts w:ascii="Times New Roman" w:hAnsi="Times New Roman" w:cs="Times New Roman"/>
                <w:sz w:val="18"/>
                <w:szCs w:val="18"/>
                <w:lang w:val="en-US"/>
              </w:rPr>
            </w:pPr>
            <w:r>
              <w:rPr>
                <w:rFonts w:ascii="Times New Roman" w:hAnsi="Times New Roman" w:cs="Times New Roman"/>
                <w:sz w:val="18"/>
                <w:szCs w:val="18"/>
                <w:lang w:val="en-US"/>
              </w:rPr>
              <w:t>9911.8</w:t>
            </w:r>
          </w:p>
        </w:tc>
      </w:tr>
    </w:tbl>
    <w:p w:rsidR="00E73F3F" w:rsidRPr="00640E82" w:rsidRDefault="00106CA2" w:rsidP="007057B5">
      <w:pPr>
        <w:spacing w:before="240"/>
        <w:ind w:firstLine="284"/>
        <w:jc w:val="both"/>
        <w:rPr>
          <w:rFonts w:ascii="Times New Roman" w:hAnsi="Times New Roman" w:cs="Times New Roman"/>
          <w:sz w:val="20"/>
          <w:lang w:val="en-US"/>
        </w:rPr>
      </w:pPr>
      <w:r w:rsidRPr="00106CA2">
        <w:rPr>
          <w:rFonts w:ascii="Times New Roman" w:hAnsi="Times New Roman" w:cs="Times New Roman"/>
          <w:sz w:val="20"/>
          <w:lang w:val="en-US"/>
        </w:rPr>
        <w:t xml:space="preserve">As </w:t>
      </w:r>
      <w:r>
        <w:rPr>
          <w:rFonts w:ascii="Times New Roman" w:hAnsi="Times New Roman" w:cs="Times New Roman"/>
          <w:sz w:val="20"/>
          <w:lang w:val="en-US"/>
        </w:rPr>
        <w:t>is obvious</w:t>
      </w:r>
      <w:r w:rsidRPr="00106CA2">
        <w:rPr>
          <w:rFonts w:ascii="Times New Roman" w:hAnsi="Times New Roman" w:cs="Times New Roman"/>
          <w:sz w:val="20"/>
          <w:lang w:val="en-US"/>
        </w:rPr>
        <w:t xml:space="preserve"> from </w:t>
      </w:r>
      <w:r>
        <w:rPr>
          <w:rFonts w:ascii="Times New Roman" w:hAnsi="Times New Roman" w:cs="Times New Roman"/>
          <w:sz w:val="20"/>
          <w:lang w:val="en-US"/>
        </w:rPr>
        <w:t>the T</w:t>
      </w:r>
      <w:r w:rsidRPr="00106CA2">
        <w:rPr>
          <w:rFonts w:ascii="Times New Roman" w:hAnsi="Times New Roman" w:cs="Times New Roman"/>
          <w:sz w:val="20"/>
          <w:lang w:val="en-US"/>
        </w:rPr>
        <w:t>able 1, natural gas is imported not for domestic consumption of Azerbaijan, but to fulfill internati</w:t>
      </w:r>
      <w:r>
        <w:rPr>
          <w:rFonts w:ascii="Times New Roman" w:hAnsi="Times New Roman" w:cs="Times New Roman"/>
          <w:sz w:val="20"/>
          <w:lang w:val="en-US"/>
        </w:rPr>
        <w:t>onal obligations for its export, actually</w:t>
      </w:r>
      <w:r w:rsidRPr="00106CA2">
        <w:rPr>
          <w:rFonts w:ascii="Times New Roman" w:hAnsi="Times New Roman" w:cs="Times New Roman"/>
          <w:sz w:val="20"/>
          <w:lang w:val="en-US"/>
        </w:rPr>
        <w:t xml:space="preserve"> the imported natural gas is transit</w:t>
      </w:r>
      <w:r>
        <w:rPr>
          <w:rFonts w:ascii="Times New Roman" w:hAnsi="Times New Roman" w:cs="Times New Roman"/>
          <w:sz w:val="20"/>
          <w:lang w:val="en-US"/>
        </w:rPr>
        <w:t xml:space="preserve">. </w:t>
      </w:r>
      <w:r w:rsidR="00640E82" w:rsidRPr="00640E82">
        <w:rPr>
          <w:rFonts w:ascii="Times New Roman" w:hAnsi="Times New Roman" w:cs="Times New Roman"/>
          <w:sz w:val="20"/>
          <w:lang w:val="en-US"/>
        </w:rPr>
        <w:t xml:space="preserve">It should be noted that </w:t>
      </w:r>
      <w:r w:rsidR="00640E82">
        <w:rPr>
          <w:rFonts w:ascii="Times New Roman" w:hAnsi="Times New Roman" w:cs="Times New Roman"/>
          <w:sz w:val="20"/>
          <w:lang w:val="en-US"/>
        </w:rPr>
        <w:t>because of this</w:t>
      </w:r>
      <w:r w:rsidR="00640E82" w:rsidRPr="00640E82">
        <w:rPr>
          <w:rFonts w:ascii="Times New Roman" w:hAnsi="Times New Roman" w:cs="Times New Roman"/>
          <w:sz w:val="20"/>
          <w:lang w:val="en-US"/>
        </w:rPr>
        <w:t xml:space="preserve"> also the state of the Value of energy exports indicator (%GDP)</w:t>
      </w:r>
      <w:r w:rsidR="00640E82">
        <w:rPr>
          <w:rFonts w:ascii="Times New Roman" w:hAnsi="Times New Roman" w:cs="Times New Roman"/>
          <w:sz w:val="20"/>
          <w:lang w:val="en-US"/>
        </w:rPr>
        <w:t xml:space="preserve"> worsens</w:t>
      </w:r>
      <w:r w:rsidR="00640E82" w:rsidRPr="00640E82">
        <w:rPr>
          <w:rFonts w:ascii="Times New Roman" w:hAnsi="Times New Roman" w:cs="Times New Roman"/>
          <w:sz w:val="20"/>
          <w:lang w:val="en-US"/>
        </w:rPr>
        <w:t xml:space="preserve">, which in the WEF report for 2017 is indicated as 24.97%, but </w:t>
      </w:r>
      <w:r w:rsidR="00640E82">
        <w:rPr>
          <w:rFonts w:ascii="Times New Roman" w:hAnsi="Times New Roman" w:cs="Times New Roman"/>
          <w:sz w:val="20"/>
          <w:lang w:val="en-US"/>
        </w:rPr>
        <w:t xml:space="preserve">actually </w:t>
      </w:r>
      <w:r w:rsidR="00640E82" w:rsidRPr="00640E82">
        <w:rPr>
          <w:rFonts w:ascii="Times New Roman" w:hAnsi="Times New Roman" w:cs="Times New Roman"/>
          <w:sz w:val="20"/>
          <w:lang w:val="en-US"/>
        </w:rPr>
        <w:t>it should be less.</w:t>
      </w:r>
    </w:p>
    <w:p w:rsidR="00A709BC" w:rsidRPr="00AE1235" w:rsidRDefault="00AE1235" w:rsidP="001613F7">
      <w:pPr>
        <w:ind w:firstLine="284"/>
        <w:jc w:val="both"/>
        <w:rPr>
          <w:rFonts w:ascii="Times New Roman" w:hAnsi="Times New Roman" w:cs="Times New Roman"/>
          <w:sz w:val="20"/>
          <w:lang w:val="en-US"/>
        </w:rPr>
      </w:pPr>
      <w:r>
        <w:rPr>
          <w:rFonts w:ascii="Times New Roman" w:hAnsi="Times New Roman" w:cs="Times New Roman"/>
          <w:sz w:val="20"/>
          <w:lang w:val="en-US"/>
        </w:rPr>
        <w:t>Charts</w:t>
      </w:r>
      <w:r w:rsidR="00640E82">
        <w:rPr>
          <w:rFonts w:ascii="Times New Roman" w:hAnsi="Times New Roman" w:cs="Times New Roman"/>
          <w:sz w:val="20"/>
          <w:lang w:val="en-US"/>
        </w:rPr>
        <w:t xml:space="preserve"> for</w:t>
      </w:r>
      <w:r w:rsidR="00640E82" w:rsidRPr="00640E82">
        <w:rPr>
          <w:rFonts w:ascii="Times New Roman" w:hAnsi="Times New Roman" w:cs="Times New Roman"/>
          <w:sz w:val="20"/>
          <w:lang w:val="en-US"/>
        </w:rPr>
        <w:t xml:space="preserve"> s</w:t>
      </w:r>
      <w:r w:rsidR="00640E82">
        <w:rPr>
          <w:rFonts w:ascii="Times New Roman" w:hAnsi="Times New Roman" w:cs="Times New Roman"/>
          <w:sz w:val="20"/>
          <w:lang w:val="en-US"/>
        </w:rPr>
        <w:t>ome indicators included in the E</w:t>
      </w:r>
      <w:r w:rsidR="00640E82" w:rsidRPr="00640E82">
        <w:rPr>
          <w:rFonts w:ascii="Times New Roman" w:hAnsi="Times New Roman" w:cs="Times New Roman"/>
          <w:sz w:val="20"/>
          <w:lang w:val="en-US"/>
        </w:rPr>
        <w:t>nvironmental sustainability subsystem</w:t>
      </w:r>
      <w:r w:rsidR="001613F7" w:rsidRPr="00640E82">
        <w:rPr>
          <w:rFonts w:ascii="Times New Roman" w:hAnsi="Times New Roman" w:cs="Times New Roman"/>
          <w:sz w:val="20"/>
          <w:lang w:val="en-US"/>
        </w:rPr>
        <w:t xml:space="preserve"> </w:t>
      </w:r>
      <w:r w:rsidR="00640E82">
        <w:rPr>
          <w:rFonts w:ascii="Times New Roman" w:hAnsi="Times New Roman" w:cs="Times New Roman"/>
          <w:sz w:val="20"/>
          <w:lang w:val="en-US"/>
        </w:rPr>
        <w:t xml:space="preserve">are given below. The </w:t>
      </w:r>
      <w:r>
        <w:rPr>
          <w:rFonts w:ascii="Times New Roman" w:hAnsi="Times New Roman" w:cs="Times New Roman"/>
          <w:sz w:val="20"/>
          <w:lang w:val="en-US"/>
        </w:rPr>
        <w:t>chart</w:t>
      </w:r>
      <w:r w:rsidR="00640E82">
        <w:rPr>
          <w:rFonts w:ascii="Times New Roman" w:hAnsi="Times New Roman" w:cs="Times New Roman"/>
          <w:sz w:val="20"/>
          <w:lang w:val="en-US"/>
        </w:rPr>
        <w:t xml:space="preserve"> for “</w:t>
      </w:r>
      <w:r w:rsidR="00A709BC" w:rsidRPr="00A709BC">
        <w:rPr>
          <w:rFonts w:ascii="Times New Roman" w:hAnsi="Times New Roman" w:cs="Times New Roman"/>
          <w:bCs/>
          <w:sz w:val="20"/>
          <w:lang w:val="en-US"/>
        </w:rPr>
        <w:t>Nitrous</w:t>
      </w:r>
      <w:r w:rsidR="00A709BC" w:rsidRPr="00640E82">
        <w:rPr>
          <w:rFonts w:ascii="Times New Roman" w:hAnsi="Times New Roman" w:cs="Times New Roman"/>
          <w:bCs/>
          <w:sz w:val="20"/>
          <w:lang w:val="en-US"/>
        </w:rPr>
        <w:t xml:space="preserve"> </w:t>
      </w:r>
      <w:r w:rsidR="00A709BC" w:rsidRPr="00A709BC">
        <w:rPr>
          <w:rFonts w:ascii="Times New Roman" w:hAnsi="Times New Roman" w:cs="Times New Roman"/>
          <w:bCs/>
          <w:sz w:val="20"/>
          <w:lang w:val="en-US"/>
        </w:rPr>
        <w:t>oxide</w:t>
      </w:r>
      <w:r w:rsidR="00A709BC" w:rsidRPr="00640E82">
        <w:rPr>
          <w:rFonts w:ascii="Times New Roman" w:hAnsi="Times New Roman" w:cs="Times New Roman"/>
          <w:bCs/>
          <w:sz w:val="20"/>
          <w:lang w:val="en-US"/>
        </w:rPr>
        <w:t xml:space="preserve"> </w:t>
      </w:r>
      <w:r w:rsidR="00A709BC" w:rsidRPr="00A709BC">
        <w:rPr>
          <w:rFonts w:ascii="Times New Roman" w:hAnsi="Times New Roman" w:cs="Times New Roman"/>
          <w:bCs/>
          <w:sz w:val="20"/>
          <w:lang w:val="en-US"/>
        </w:rPr>
        <w:t>emissions</w:t>
      </w:r>
      <w:r w:rsidR="00A709BC" w:rsidRPr="00640E82">
        <w:rPr>
          <w:rFonts w:ascii="Times New Roman" w:hAnsi="Times New Roman" w:cs="Times New Roman"/>
          <w:bCs/>
          <w:sz w:val="20"/>
          <w:lang w:val="en-US"/>
        </w:rPr>
        <w:t xml:space="preserve"> </w:t>
      </w:r>
      <w:r w:rsidR="00A709BC" w:rsidRPr="00A709BC">
        <w:rPr>
          <w:rFonts w:ascii="Times New Roman" w:hAnsi="Times New Roman" w:cs="Times New Roman"/>
          <w:bCs/>
          <w:sz w:val="20"/>
          <w:lang w:val="en-US"/>
        </w:rPr>
        <w:t>in</w:t>
      </w:r>
      <w:r w:rsidR="00A709BC" w:rsidRPr="00640E82">
        <w:rPr>
          <w:rFonts w:ascii="Times New Roman" w:hAnsi="Times New Roman" w:cs="Times New Roman"/>
          <w:bCs/>
          <w:sz w:val="20"/>
          <w:lang w:val="en-US"/>
        </w:rPr>
        <w:t xml:space="preserve"> </w:t>
      </w:r>
      <w:r w:rsidR="00A709BC" w:rsidRPr="00A709BC">
        <w:rPr>
          <w:rFonts w:ascii="Times New Roman" w:hAnsi="Times New Roman" w:cs="Times New Roman"/>
          <w:bCs/>
          <w:sz w:val="20"/>
          <w:lang w:val="en-US"/>
        </w:rPr>
        <w:t>energy</w:t>
      </w:r>
      <w:r w:rsidR="00A709BC" w:rsidRPr="00640E82">
        <w:rPr>
          <w:rFonts w:ascii="Times New Roman" w:hAnsi="Times New Roman" w:cs="Times New Roman"/>
          <w:bCs/>
          <w:sz w:val="20"/>
          <w:lang w:val="en-US"/>
        </w:rPr>
        <w:t xml:space="preserve"> </w:t>
      </w:r>
      <w:r w:rsidR="00A709BC" w:rsidRPr="00A709BC">
        <w:rPr>
          <w:rFonts w:ascii="Times New Roman" w:hAnsi="Times New Roman" w:cs="Times New Roman"/>
          <w:bCs/>
          <w:sz w:val="20"/>
          <w:lang w:val="en-US"/>
        </w:rPr>
        <w:t>sector</w:t>
      </w:r>
      <w:r w:rsidR="00640E82">
        <w:rPr>
          <w:rFonts w:ascii="Times New Roman" w:hAnsi="Times New Roman" w:cs="Times New Roman"/>
          <w:bCs/>
          <w:sz w:val="20"/>
          <w:lang w:val="en-US"/>
        </w:rPr>
        <w:t>” indicator</w:t>
      </w:r>
      <w:r w:rsidR="00A709BC" w:rsidRPr="00640E82">
        <w:rPr>
          <w:rFonts w:ascii="Times New Roman" w:hAnsi="Times New Roman" w:cs="Times New Roman"/>
          <w:sz w:val="20"/>
          <w:lang w:val="en-US"/>
        </w:rPr>
        <w:t xml:space="preserve">, </w:t>
      </w:r>
      <w:r>
        <w:rPr>
          <w:rFonts w:ascii="Times New Roman" w:hAnsi="Times New Roman" w:cs="Times New Roman"/>
          <w:sz w:val="20"/>
          <w:lang w:val="en-US"/>
        </w:rPr>
        <w:t xml:space="preserve">included in the </w:t>
      </w:r>
      <w:r w:rsidR="00A709BC" w:rsidRPr="00A709BC">
        <w:rPr>
          <w:rFonts w:ascii="Times New Roman" w:hAnsi="Times New Roman" w:cs="Times New Roman"/>
          <w:sz w:val="20"/>
        </w:rPr>
        <w:t>Enviromental sustainability</w:t>
      </w:r>
      <w:r>
        <w:rPr>
          <w:rFonts w:ascii="Times New Roman" w:hAnsi="Times New Roman" w:cs="Times New Roman"/>
          <w:sz w:val="20"/>
        </w:rPr>
        <w:t xml:space="preserve"> subsystem, is presented in Figure 1</w:t>
      </w:r>
      <w:r w:rsidR="00755082">
        <w:rPr>
          <w:rFonts w:ascii="Times New Roman" w:hAnsi="Times New Roman" w:cs="Times New Roman"/>
          <w:sz w:val="20"/>
        </w:rPr>
        <w:t>2</w:t>
      </w:r>
      <w:r>
        <w:rPr>
          <w:rFonts w:ascii="Times New Roman" w:hAnsi="Times New Roman" w:cs="Times New Roman"/>
          <w:sz w:val="20"/>
        </w:rPr>
        <w:t xml:space="preserve">. </w:t>
      </w:r>
      <w:r w:rsidR="00A709BC" w:rsidRPr="00640E82">
        <w:rPr>
          <w:rFonts w:ascii="Times New Roman" w:hAnsi="Times New Roman" w:cs="Times New Roman"/>
          <w:sz w:val="20"/>
          <w:lang w:val="en-US"/>
        </w:rPr>
        <w:t xml:space="preserve"> </w:t>
      </w:r>
      <w:r w:rsidRPr="00AE1235">
        <w:rPr>
          <w:rFonts w:ascii="Times New Roman" w:hAnsi="Times New Roman" w:cs="Times New Roman"/>
          <w:sz w:val="20"/>
          <w:lang w:val="en-US"/>
        </w:rPr>
        <w:t xml:space="preserve">As </w:t>
      </w:r>
      <w:r>
        <w:rPr>
          <w:rFonts w:ascii="Times New Roman" w:hAnsi="Times New Roman" w:cs="Times New Roman"/>
          <w:sz w:val="20"/>
          <w:lang w:val="en-US"/>
        </w:rPr>
        <w:t>is obvious</w:t>
      </w:r>
      <w:r w:rsidRPr="00AE1235">
        <w:rPr>
          <w:rFonts w:ascii="Times New Roman" w:hAnsi="Times New Roman" w:cs="Times New Roman"/>
          <w:sz w:val="20"/>
          <w:lang w:val="en-US"/>
        </w:rPr>
        <w:t xml:space="preserve"> from the chart, the value of this indicator has significantly decreased in recent years, although there is some growth in 2017-2018.</w:t>
      </w:r>
    </w:p>
    <w:p w:rsidR="00EC02CA" w:rsidRPr="007A6290" w:rsidRDefault="00EC02CA" w:rsidP="005663AD">
      <w:pPr>
        <w:jc w:val="both"/>
        <w:rPr>
          <w:rFonts w:ascii="Times New Roman" w:hAnsi="Times New Roman" w:cs="Times New Roman"/>
          <w:sz w:val="20"/>
          <w:lang w:val="en-US"/>
        </w:rPr>
      </w:pPr>
      <w:r w:rsidRPr="00EC02CA">
        <w:rPr>
          <w:rFonts w:ascii="Times New Roman" w:hAnsi="Times New Roman" w:cs="Times New Roman"/>
          <w:noProof/>
          <w:sz w:val="20"/>
          <w:lang w:val="en-US" w:eastAsia="en-US"/>
        </w:rPr>
        <w:lastRenderedPageBreak/>
        <w:drawing>
          <wp:inline distT="0" distB="0" distL="0" distR="0">
            <wp:extent cx="2663687" cy="1908000"/>
            <wp:effectExtent l="0" t="0" r="3313"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C33B2" w:rsidRPr="001C33B2" w:rsidRDefault="00480151" w:rsidP="00755082">
      <w:pPr>
        <w:spacing w:before="170" w:after="170"/>
        <w:jc w:val="both"/>
        <w:rPr>
          <w:sz w:val="18"/>
          <w:szCs w:val="18"/>
          <w:lang w:val="en-US"/>
        </w:rPr>
      </w:pPr>
      <w:r w:rsidRPr="00CA1091">
        <w:rPr>
          <w:rFonts w:ascii="Times New Roman" w:hAnsi="Times New Roman"/>
          <w:b/>
          <w:sz w:val="18"/>
          <w:szCs w:val="18"/>
          <w:lang w:val="en-GB"/>
        </w:rPr>
        <w:t>Fig</w:t>
      </w:r>
      <w:r w:rsidRPr="007A6290">
        <w:rPr>
          <w:rFonts w:ascii="Times New Roman" w:hAnsi="Times New Roman"/>
          <w:b/>
          <w:sz w:val="18"/>
          <w:szCs w:val="18"/>
          <w:lang w:val="en-US"/>
        </w:rPr>
        <w:t xml:space="preserve">. </w:t>
      </w:r>
      <w:r w:rsidR="00BA0C90" w:rsidRPr="00457681">
        <w:rPr>
          <w:rFonts w:ascii="Times New Roman" w:hAnsi="Times New Roman"/>
          <w:b/>
          <w:sz w:val="18"/>
          <w:szCs w:val="18"/>
          <w:lang w:val="en-US"/>
        </w:rPr>
        <w:t>1</w:t>
      </w:r>
      <w:r w:rsidR="00755082">
        <w:rPr>
          <w:rFonts w:ascii="Times New Roman" w:hAnsi="Times New Roman"/>
          <w:b/>
          <w:sz w:val="18"/>
          <w:szCs w:val="18"/>
          <w:lang w:val="en-US"/>
        </w:rPr>
        <w:t>2</w:t>
      </w:r>
      <w:r w:rsidRPr="007A6290">
        <w:rPr>
          <w:rFonts w:ascii="Times New Roman" w:hAnsi="Times New Roman"/>
          <w:b/>
          <w:bCs/>
          <w:sz w:val="18"/>
          <w:szCs w:val="18"/>
          <w:lang w:val="en-US"/>
        </w:rPr>
        <w:t>.</w:t>
      </w:r>
      <w:r w:rsidRPr="007A6290">
        <w:rPr>
          <w:rFonts w:ascii="Times New Roman" w:hAnsi="Times New Roman"/>
          <w:sz w:val="18"/>
          <w:szCs w:val="18"/>
          <w:lang w:val="en-US"/>
        </w:rPr>
        <w:t xml:space="preserve"> </w:t>
      </w:r>
      <w:r w:rsidR="001C33B2" w:rsidRPr="001C33B2">
        <w:rPr>
          <w:rFonts w:ascii="Times New Roman" w:hAnsi="Times New Roman" w:cs="Times New Roman"/>
          <w:bCs/>
          <w:sz w:val="18"/>
          <w:szCs w:val="18"/>
          <w:lang w:val="en-US"/>
        </w:rPr>
        <w:t>Nitrous oxide emissions in energy sector</w:t>
      </w:r>
      <w:r w:rsidR="001C33B2">
        <w:rPr>
          <w:rFonts w:ascii="Times New Roman" w:hAnsi="Times New Roman" w:cs="Times New Roman"/>
          <w:bCs/>
          <w:sz w:val="18"/>
          <w:szCs w:val="18"/>
          <w:lang w:val="en-US"/>
        </w:rPr>
        <w:t>, ton/population</w:t>
      </w:r>
      <w:r w:rsidR="001C33B2" w:rsidRPr="001C33B2">
        <w:rPr>
          <w:b/>
          <w:bCs/>
          <w:sz w:val="18"/>
          <w:szCs w:val="18"/>
          <w:lang w:val="en-US"/>
        </w:rPr>
        <w:t xml:space="preserve"> </w:t>
      </w:r>
    </w:p>
    <w:p w:rsidR="00B8046D" w:rsidRDefault="00AE1235" w:rsidP="00D10BF7">
      <w:pPr>
        <w:ind w:firstLine="284"/>
        <w:jc w:val="both"/>
        <w:rPr>
          <w:rFonts w:ascii="Times New Roman" w:hAnsi="Times New Roman" w:cs="Times New Roman"/>
          <w:sz w:val="20"/>
          <w:lang w:val="en-US"/>
        </w:rPr>
      </w:pPr>
      <w:r>
        <w:rPr>
          <w:rFonts w:ascii="Times New Roman" w:hAnsi="Times New Roman" w:cs="Times New Roman"/>
          <w:sz w:val="20"/>
          <w:lang w:val="en-US"/>
        </w:rPr>
        <w:t xml:space="preserve">Another indicator from the </w:t>
      </w:r>
      <w:r w:rsidR="005063C2" w:rsidRPr="005063C2">
        <w:rPr>
          <w:rFonts w:ascii="Times New Roman" w:hAnsi="Times New Roman" w:cs="Times New Roman"/>
          <w:sz w:val="20"/>
        </w:rPr>
        <w:t>Enviromental sustainability</w:t>
      </w:r>
      <w:r w:rsidR="00D10BF7" w:rsidRPr="005063C2">
        <w:rPr>
          <w:rFonts w:ascii="Times New Roman" w:hAnsi="Times New Roman" w:cs="Times New Roman"/>
          <w:sz w:val="20"/>
          <w:lang w:val="en-US"/>
        </w:rPr>
        <w:t xml:space="preserve"> </w:t>
      </w:r>
      <w:r>
        <w:rPr>
          <w:rFonts w:ascii="Times New Roman" w:hAnsi="Times New Roman" w:cs="Times New Roman"/>
          <w:sz w:val="20"/>
          <w:lang w:val="en-US"/>
        </w:rPr>
        <w:t>subsystem is</w:t>
      </w:r>
      <w:r w:rsidR="00D10BF7" w:rsidRPr="005063C2">
        <w:rPr>
          <w:rFonts w:ascii="Times New Roman" w:hAnsi="Times New Roman" w:cs="Times New Roman"/>
          <w:sz w:val="20"/>
          <w:lang w:val="en-US"/>
        </w:rPr>
        <w:t xml:space="preserve"> </w:t>
      </w:r>
      <w:r w:rsidR="005063C2" w:rsidRPr="005063C2">
        <w:rPr>
          <w:rFonts w:ascii="Times New Roman" w:hAnsi="Times New Roman" w:cs="Times New Roman"/>
          <w:sz w:val="20"/>
        </w:rPr>
        <w:t>Methane Emissions in energy sector (metric tons of CO</w:t>
      </w:r>
      <w:r w:rsidR="005063C2" w:rsidRPr="005063C2">
        <w:rPr>
          <w:rFonts w:ascii="Times New Roman" w:hAnsi="Times New Roman" w:cs="Times New Roman"/>
          <w:sz w:val="20"/>
          <w:vertAlign w:val="subscript"/>
        </w:rPr>
        <w:t>2</w:t>
      </w:r>
      <w:r w:rsidR="00676B65" w:rsidRPr="00676B65">
        <w:rPr>
          <w:rFonts w:ascii="Times New Roman" w:hAnsi="Times New Roman" w:cs="Times New Roman"/>
          <w:sz w:val="20"/>
          <w:vertAlign w:val="subscript"/>
          <w:lang w:val="en-US"/>
        </w:rPr>
        <w:t xml:space="preserve"> </w:t>
      </w:r>
      <w:r w:rsidR="005063C2" w:rsidRPr="005063C2">
        <w:rPr>
          <w:rFonts w:ascii="Times New Roman" w:hAnsi="Times New Roman" w:cs="Times New Roman"/>
          <w:sz w:val="20"/>
        </w:rPr>
        <w:t>equivalent)/Total Population)</w:t>
      </w:r>
      <w:r w:rsidR="005063C2" w:rsidRPr="005063C2">
        <w:rPr>
          <w:rFonts w:ascii="Times New Roman" w:hAnsi="Times New Roman" w:cs="Times New Roman"/>
          <w:sz w:val="20"/>
          <w:lang w:val="en-US"/>
        </w:rPr>
        <w:t>.</w:t>
      </w:r>
    </w:p>
    <w:p w:rsidR="00480151" w:rsidRDefault="008F68A9" w:rsidP="00D10BF7">
      <w:pPr>
        <w:ind w:firstLine="284"/>
        <w:jc w:val="both"/>
        <w:rPr>
          <w:sz w:val="20"/>
        </w:rPr>
      </w:pPr>
      <w:r w:rsidRPr="008F68A9">
        <w:rPr>
          <w:noProof/>
          <w:sz w:val="20"/>
          <w:lang w:val="en-US" w:eastAsia="en-US"/>
        </w:rPr>
        <w:drawing>
          <wp:inline distT="0" distB="0" distL="0" distR="0">
            <wp:extent cx="2663687" cy="1908000"/>
            <wp:effectExtent l="0" t="0" r="0" b="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57681" w:rsidRPr="00755082" w:rsidRDefault="00457681" w:rsidP="00755082">
      <w:pPr>
        <w:spacing w:before="170" w:after="170"/>
        <w:jc w:val="both"/>
        <w:rPr>
          <w:rFonts w:ascii="Times New Roman" w:hAnsi="Times New Roman" w:cs="Times New Roman"/>
          <w:bCs/>
          <w:sz w:val="18"/>
          <w:szCs w:val="18"/>
        </w:rPr>
      </w:pPr>
      <w:r w:rsidRPr="00CA1091">
        <w:rPr>
          <w:rFonts w:ascii="Times New Roman" w:hAnsi="Times New Roman"/>
          <w:b/>
          <w:sz w:val="18"/>
          <w:szCs w:val="18"/>
          <w:lang w:val="en-GB"/>
        </w:rPr>
        <w:t>Fig</w:t>
      </w:r>
      <w:r w:rsidRPr="007A6290">
        <w:rPr>
          <w:rFonts w:ascii="Times New Roman" w:hAnsi="Times New Roman"/>
          <w:b/>
          <w:sz w:val="18"/>
          <w:szCs w:val="18"/>
          <w:lang w:val="en-US"/>
        </w:rPr>
        <w:t xml:space="preserve">. </w:t>
      </w:r>
      <w:r w:rsidRPr="00457681">
        <w:rPr>
          <w:rFonts w:ascii="Times New Roman" w:hAnsi="Times New Roman"/>
          <w:b/>
          <w:sz w:val="18"/>
          <w:szCs w:val="18"/>
          <w:lang w:val="en-US"/>
        </w:rPr>
        <w:t>1</w:t>
      </w:r>
      <w:r w:rsidR="00755082">
        <w:rPr>
          <w:rFonts w:ascii="Times New Roman" w:hAnsi="Times New Roman"/>
          <w:b/>
          <w:sz w:val="18"/>
          <w:szCs w:val="18"/>
          <w:lang w:val="en-US"/>
        </w:rPr>
        <w:t>3</w:t>
      </w:r>
      <w:r w:rsidRPr="007A6290">
        <w:rPr>
          <w:rFonts w:ascii="Times New Roman" w:hAnsi="Times New Roman"/>
          <w:b/>
          <w:bCs/>
          <w:sz w:val="18"/>
          <w:szCs w:val="18"/>
          <w:lang w:val="en-US"/>
        </w:rPr>
        <w:t>.</w:t>
      </w:r>
      <w:r w:rsidRPr="007A6290">
        <w:rPr>
          <w:rFonts w:ascii="Times New Roman" w:hAnsi="Times New Roman"/>
          <w:sz w:val="18"/>
          <w:szCs w:val="18"/>
          <w:lang w:val="en-US"/>
        </w:rPr>
        <w:t xml:space="preserve"> </w:t>
      </w:r>
      <w:r w:rsidRPr="00457681">
        <w:rPr>
          <w:bCs/>
          <w:sz w:val="18"/>
          <w:szCs w:val="18"/>
        </w:rPr>
        <w:t xml:space="preserve">Methane </w:t>
      </w:r>
      <w:r w:rsidRPr="00755082">
        <w:rPr>
          <w:rFonts w:ascii="Times New Roman" w:hAnsi="Times New Roman" w:cs="Times New Roman"/>
          <w:bCs/>
          <w:sz w:val="18"/>
          <w:szCs w:val="18"/>
        </w:rPr>
        <w:t>Emissions in energy sector</w:t>
      </w:r>
      <w:r w:rsidRPr="00755082">
        <w:rPr>
          <w:rFonts w:ascii="Times New Roman" w:hAnsi="Times New Roman" w:cs="Times New Roman"/>
          <w:bCs/>
          <w:sz w:val="18"/>
          <w:szCs w:val="18"/>
          <w:lang w:val="en-US"/>
        </w:rPr>
        <w:t>, ton/population</w:t>
      </w:r>
      <w:r w:rsidRPr="00755082">
        <w:rPr>
          <w:rFonts w:ascii="Times New Roman" w:hAnsi="Times New Roman" w:cs="Times New Roman"/>
          <w:b/>
          <w:bCs/>
          <w:sz w:val="18"/>
          <w:szCs w:val="18"/>
          <w:lang w:val="en-US"/>
        </w:rPr>
        <w:t xml:space="preserve"> </w:t>
      </w:r>
    </w:p>
    <w:p w:rsidR="005037F8" w:rsidRPr="00755082" w:rsidRDefault="00CC721E" w:rsidP="000D4E89">
      <w:pPr>
        <w:ind w:firstLine="284"/>
        <w:jc w:val="both"/>
        <w:rPr>
          <w:rFonts w:ascii="Times New Roman" w:hAnsi="Times New Roman" w:cs="Times New Roman"/>
          <w:sz w:val="20"/>
          <w:lang w:val="en-US"/>
        </w:rPr>
      </w:pPr>
      <w:r w:rsidRPr="00755082">
        <w:rPr>
          <w:rFonts w:ascii="Times New Roman" w:hAnsi="Times New Roman" w:cs="Times New Roman"/>
          <w:sz w:val="20"/>
          <w:lang w:val="en-US"/>
        </w:rPr>
        <w:t>As is obvious from Figure 1</w:t>
      </w:r>
      <w:r w:rsidR="00755082">
        <w:rPr>
          <w:rFonts w:ascii="Times New Roman" w:hAnsi="Times New Roman" w:cs="Times New Roman"/>
          <w:sz w:val="20"/>
          <w:lang w:val="en-US"/>
        </w:rPr>
        <w:t>3</w:t>
      </w:r>
      <w:r w:rsidRPr="00755082">
        <w:rPr>
          <w:rFonts w:ascii="Times New Roman" w:hAnsi="Times New Roman" w:cs="Times New Roman"/>
          <w:sz w:val="20"/>
          <w:lang w:val="en-US"/>
        </w:rPr>
        <w:t>, Methane Emissions in the energy sector ha</w:t>
      </w:r>
      <w:r w:rsidR="00906114" w:rsidRPr="00755082">
        <w:rPr>
          <w:rFonts w:ascii="Times New Roman" w:hAnsi="Times New Roman" w:cs="Times New Roman"/>
          <w:sz w:val="20"/>
          <w:lang w:val="en-US"/>
        </w:rPr>
        <w:t>ve</w:t>
      </w:r>
      <w:r w:rsidRPr="00755082">
        <w:rPr>
          <w:rFonts w:ascii="Times New Roman" w:hAnsi="Times New Roman" w:cs="Times New Roman"/>
          <w:sz w:val="20"/>
          <w:lang w:val="en-US"/>
        </w:rPr>
        <w:t xml:space="preserve"> decreased significantly in recent years.</w:t>
      </w:r>
    </w:p>
    <w:p w:rsidR="00676B65" w:rsidRPr="00AE1235" w:rsidRDefault="00AE1235" w:rsidP="00755082">
      <w:pPr>
        <w:spacing w:after="170"/>
        <w:ind w:firstLine="284"/>
        <w:jc w:val="both"/>
        <w:rPr>
          <w:rFonts w:ascii="Times New Roman" w:hAnsi="Times New Roman" w:cs="Times New Roman"/>
          <w:sz w:val="20"/>
          <w:lang w:val="en-US"/>
        </w:rPr>
      </w:pPr>
      <w:r w:rsidRPr="00755082">
        <w:rPr>
          <w:rFonts w:ascii="Times New Roman" w:hAnsi="Times New Roman" w:cs="Times New Roman"/>
          <w:sz w:val="20"/>
          <w:lang w:val="en-US"/>
        </w:rPr>
        <w:t>The value of the “CO2</w:t>
      </w:r>
      <w:r w:rsidRPr="00AE1235">
        <w:rPr>
          <w:rFonts w:ascii="Times New Roman" w:hAnsi="Times New Roman" w:cs="Times New Roman"/>
          <w:sz w:val="20"/>
          <w:lang w:val="en-US"/>
        </w:rPr>
        <w:t xml:space="preserve"> emissions from electricity</w:t>
      </w:r>
      <w:r>
        <w:rPr>
          <w:rFonts w:ascii="Times New Roman" w:hAnsi="Times New Roman" w:cs="Times New Roman"/>
          <w:sz w:val="20"/>
          <w:lang w:val="en-US"/>
        </w:rPr>
        <w:t>” indicator</w:t>
      </w:r>
      <w:r w:rsidRPr="00AE1235">
        <w:rPr>
          <w:rFonts w:ascii="Times New Roman" w:hAnsi="Times New Roman" w:cs="Times New Roman"/>
          <w:sz w:val="20"/>
          <w:lang w:val="en-US"/>
        </w:rPr>
        <w:t xml:space="preserve"> in </w:t>
      </w:r>
      <w:r>
        <w:rPr>
          <w:rFonts w:ascii="Times New Roman" w:hAnsi="Times New Roman" w:cs="Times New Roman"/>
          <w:sz w:val="20"/>
          <w:lang w:val="en-US"/>
        </w:rPr>
        <w:t>Figure 1</w:t>
      </w:r>
      <w:r w:rsidR="00755082">
        <w:rPr>
          <w:rFonts w:ascii="Times New Roman" w:hAnsi="Times New Roman" w:cs="Times New Roman"/>
          <w:sz w:val="20"/>
          <w:lang w:val="en-US"/>
        </w:rPr>
        <w:t>4</w:t>
      </w:r>
      <w:r w:rsidRPr="00AE1235">
        <w:rPr>
          <w:rFonts w:ascii="Times New Roman" w:hAnsi="Times New Roman" w:cs="Times New Roman"/>
          <w:sz w:val="20"/>
          <w:lang w:val="en-US"/>
        </w:rPr>
        <w:t xml:space="preserve"> tends to decrease slightly, which is mainly due to the greater use of more efficient power plants for </w:t>
      </w:r>
      <w:r>
        <w:rPr>
          <w:rFonts w:ascii="Times New Roman" w:hAnsi="Times New Roman" w:cs="Times New Roman"/>
          <w:sz w:val="20"/>
          <w:lang w:val="en-US"/>
        </w:rPr>
        <w:t>power generation.</w:t>
      </w:r>
    </w:p>
    <w:p w:rsidR="005037F8" w:rsidRDefault="005037F8" w:rsidP="005663AD">
      <w:pPr>
        <w:jc w:val="both"/>
        <w:rPr>
          <w:sz w:val="20"/>
        </w:rPr>
      </w:pPr>
      <w:r w:rsidRPr="005037F8">
        <w:rPr>
          <w:noProof/>
          <w:sz w:val="20"/>
          <w:lang w:val="en-US" w:eastAsia="en-US"/>
        </w:rPr>
        <w:drawing>
          <wp:inline distT="0" distB="0" distL="0" distR="0">
            <wp:extent cx="2661147" cy="1908000"/>
            <wp:effectExtent l="0" t="0" r="5853"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A0C90" w:rsidRPr="00457681" w:rsidRDefault="00457681" w:rsidP="00755082">
      <w:pPr>
        <w:spacing w:before="170" w:after="170"/>
        <w:jc w:val="both"/>
        <w:rPr>
          <w:rFonts w:asciiTheme="minorHAnsi" w:hAnsiTheme="minorHAnsi"/>
          <w:sz w:val="20"/>
          <w:lang w:val="en-US"/>
        </w:rPr>
      </w:pPr>
      <w:r w:rsidRPr="00CA1091">
        <w:rPr>
          <w:rFonts w:ascii="Times New Roman" w:hAnsi="Times New Roman"/>
          <w:b/>
          <w:sz w:val="18"/>
          <w:szCs w:val="18"/>
          <w:lang w:val="en-GB"/>
        </w:rPr>
        <w:t>Fig</w:t>
      </w:r>
      <w:r w:rsidRPr="007A6290">
        <w:rPr>
          <w:rFonts w:ascii="Times New Roman" w:hAnsi="Times New Roman"/>
          <w:b/>
          <w:sz w:val="18"/>
          <w:szCs w:val="18"/>
          <w:lang w:val="en-US"/>
        </w:rPr>
        <w:t xml:space="preserve">. </w:t>
      </w:r>
      <w:r w:rsidRPr="00457681">
        <w:rPr>
          <w:rFonts w:ascii="Times New Roman" w:hAnsi="Times New Roman"/>
          <w:b/>
          <w:sz w:val="18"/>
          <w:szCs w:val="18"/>
          <w:lang w:val="en-US"/>
        </w:rPr>
        <w:t>1</w:t>
      </w:r>
      <w:r w:rsidR="00755082">
        <w:rPr>
          <w:rFonts w:ascii="Times New Roman" w:hAnsi="Times New Roman"/>
          <w:b/>
          <w:sz w:val="18"/>
          <w:szCs w:val="18"/>
          <w:lang w:val="en-US"/>
        </w:rPr>
        <w:t>4</w:t>
      </w:r>
      <w:r w:rsidRPr="007A6290">
        <w:rPr>
          <w:rFonts w:ascii="Times New Roman" w:hAnsi="Times New Roman"/>
          <w:b/>
          <w:bCs/>
          <w:sz w:val="18"/>
          <w:szCs w:val="18"/>
          <w:lang w:val="en-US"/>
        </w:rPr>
        <w:t>.</w:t>
      </w:r>
      <w:r w:rsidRPr="007A6290">
        <w:rPr>
          <w:rFonts w:ascii="Times New Roman" w:hAnsi="Times New Roman"/>
          <w:sz w:val="18"/>
          <w:szCs w:val="18"/>
          <w:lang w:val="en-US"/>
        </w:rPr>
        <w:t xml:space="preserve"> </w:t>
      </w:r>
      <w:r w:rsidRPr="00457681">
        <w:rPr>
          <w:rFonts w:ascii="Times New Roman" w:hAnsi="Times New Roman" w:cs="Times New Roman"/>
          <w:bCs/>
          <w:sz w:val="18"/>
          <w:szCs w:val="18"/>
          <w:lang w:val="en-US"/>
        </w:rPr>
        <w:t>CO2 emissions from electricity</w:t>
      </w:r>
      <w:r>
        <w:rPr>
          <w:rFonts w:ascii="Times New Roman" w:hAnsi="Times New Roman" w:cs="Times New Roman"/>
          <w:bCs/>
          <w:sz w:val="18"/>
          <w:szCs w:val="18"/>
          <w:lang w:val="en-US"/>
        </w:rPr>
        <w:t>, gr/kWh</w:t>
      </w:r>
    </w:p>
    <w:p w:rsidR="00F678F1" w:rsidRPr="00BB2BE4" w:rsidRDefault="00BB2BE4" w:rsidP="004825B4">
      <w:pPr>
        <w:ind w:firstLine="284"/>
        <w:jc w:val="both"/>
        <w:rPr>
          <w:rFonts w:ascii="Times New Roman" w:hAnsi="Times New Roman" w:cs="Times New Roman"/>
          <w:sz w:val="20"/>
          <w:lang w:val="en-US"/>
        </w:rPr>
      </w:pPr>
      <w:r>
        <w:rPr>
          <w:rFonts w:ascii="Times New Roman" w:hAnsi="Times New Roman" w:cs="Times New Roman"/>
          <w:sz w:val="20"/>
          <w:lang w:val="en-US"/>
        </w:rPr>
        <w:t>In the WEF report the E</w:t>
      </w:r>
      <w:r w:rsidRPr="00BB2BE4">
        <w:rPr>
          <w:rFonts w:ascii="Times New Roman" w:hAnsi="Times New Roman" w:cs="Times New Roman"/>
          <w:sz w:val="20"/>
          <w:lang w:val="en-US"/>
        </w:rPr>
        <w:t>nergy access and security subsystem is evaluated using 6 indicators</w:t>
      </w:r>
      <w:r>
        <w:rPr>
          <w:rFonts w:ascii="Times New Roman" w:hAnsi="Times New Roman" w:cs="Times New Roman"/>
          <w:sz w:val="20"/>
          <w:lang w:val="en-US"/>
        </w:rPr>
        <w:t>.</w:t>
      </w:r>
      <w:r w:rsidRPr="00BB2BE4">
        <w:rPr>
          <w:rFonts w:ascii="Times New Roman" w:hAnsi="Times New Roman" w:cs="Times New Roman"/>
          <w:sz w:val="20"/>
          <w:lang w:val="en-US"/>
        </w:rPr>
        <w:t xml:space="preserve"> </w:t>
      </w:r>
      <w:r>
        <w:rPr>
          <w:rFonts w:ascii="Times New Roman" w:hAnsi="Times New Roman" w:cs="Times New Roman"/>
          <w:sz w:val="20"/>
          <w:lang w:val="en-US"/>
        </w:rPr>
        <w:t>The most important for Azerbaijan are indicators</w:t>
      </w:r>
      <w:r w:rsidR="00DA2772" w:rsidRPr="00DA2772">
        <w:rPr>
          <w:rFonts w:ascii="Times New Roman" w:hAnsi="Times New Roman" w:cs="Times New Roman"/>
          <w:sz w:val="20"/>
          <w:lang w:val="en-US"/>
        </w:rPr>
        <w:t xml:space="preserve"> </w:t>
      </w:r>
      <w:r w:rsidR="00DA2772" w:rsidRPr="00DA2772">
        <w:rPr>
          <w:rFonts w:ascii="Times New Roman" w:hAnsi="Times New Roman" w:cs="Times New Roman"/>
          <w:sz w:val="20"/>
        </w:rPr>
        <w:t>Quality of electricity supply</w:t>
      </w:r>
      <w:r w:rsidR="00DA2772" w:rsidRPr="00DA2772">
        <w:rPr>
          <w:rFonts w:ascii="Times New Roman" w:hAnsi="Times New Roman" w:cs="Times New Roman"/>
          <w:sz w:val="20"/>
          <w:lang w:val="en-US"/>
        </w:rPr>
        <w:t xml:space="preserve">, </w:t>
      </w:r>
      <w:r w:rsidR="00DA2772" w:rsidRPr="00F678F1">
        <w:rPr>
          <w:rFonts w:ascii="Times New Roman" w:hAnsi="Times New Roman" w:cs="Times New Roman"/>
          <w:sz w:val="20"/>
        </w:rPr>
        <w:t xml:space="preserve">Percentage of population using solid </w:t>
      </w:r>
      <w:r w:rsidR="00DA2772" w:rsidRPr="00F678F1">
        <w:rPr>
          <w:rFonts w:ascii="Times New Roman" w:hAnsi="Times New Roman" w:cs="Times New Roman"/>
          <w:sz w:val="20"/>
        </w:rPr>
        <w:lastRenderedPageBreak/>
        <w:t>fuels for cooking</w:t>
      </w:r>
      <w:r w:rsidR="00DA2772" w:rsidRPr="00F678F1">
        <w:rPr>
          <w:rFonts w:ascii="Times New Roman" w:hAnsi="Times New Roman" w:cs="Times New Roman"/>
          <w:sz w:val="20"/>
          <w:lang w:val="en-US"/>
        </w:rPr>
        <w:t xml:space="preserve"> </w:t>
      </w:r>
      <w:r>
        <w:rPr>
          <w:rFonts w:ascii="Times New Roman" w:hAnsi="Times New Roman" w:cs="Times New Roman"/>
          <w:sz w:val="20"/>
          <w:lang w:val="en-US"/>
        </w:rPr>
        <w:t>and</w:t>
      </w:r>
      <w:r w:rsidR="00DA2772" w:rsidRPr="00F678F1">
        <w:rPr>
          <w:rFonts w:ascii="Times New Roman" w:hAnsi="Times New Roman" w:cs="Times New Roman"/>
          <w:sz w:val="20"/>
          <w:lang w:val="en-US"/>
        </w:rPr>
        <w:t xml:space="preserve"> </w:t>
      </w:r>
      <w:r w:rsidR="00DA2772" w:rsidRPr="00F678F1">
        <w:rPr>
          <w:rFonts w:ascii="Times New Roman" w:hAnsi="Times New Roman" w:cs="Times New Roman"/>
          <w:sz w:val="20"/>
        </w:rPr>
        <w:t>Diversity of total primary energy supply (Herfindahl Index)</w:t>
      </w:r>
      <w:r w:rsidR="00DA2772" w:rsidRPr="00F678F1">
        <w:rPr>
          <w:rFonts w:ascii="Times New Roman" w:hAnsi="Times New Roman" w:cs="Times New Roman"/>
          <w:sz w:val="20"/>
          <w:lang w:val="en-US"/>
        </w:rPr>
        <w:t>.</w:t>
      </w:r>
      <w:r w:rsidR="00F678F1" w:rsidRPr="00F678F1">
        <w:rPr>
          <w:rFonts w:ascii="Times New Roman" w:hAnsi="Times New Roman" w:cs="Times New Roman"/>
          <w:sz w:val="20"/>
          <w:lang w:val="en-US"/>
        </w:rPr>
        <w:t xml:space="preserve"> </w:t>
      </w:r>
      <w:r w:rsidRPr="00BB2BE4">
        <w:rPr>
          <w:rFonts w:ascii="Times New Roman" w:hAnsi="Times New Roman" w:cs="Times New Roman"/>
          <w:sz w:val="20"/>
          <w:lang w:val="en-US"/>
        </w:rPr>
        <w:t xml:space="preserve">As shown above, energy </w:t>
      </w:r>
      <w:r w:rsidR="00182368">
        <w:rPr>
          <w:rFonts w:ascii="Times New Roman" w:hAnsi="Times New Roman" w:cs="Times New Roman"/>
          <w:sz w:val="20"/>
          <w:lang w:val="en-US"/>
        </w:rPr>
        <w:t xml:space="preserve">resources </w:t>
      </w:r>
      <w:r w:rsidRPr="00BB2BE4">
        <w:rPr>
          <w:rFonts w:ascii="Times New Roman" w:hAnsi="Times New Roman" w:cs="Times New Roman"/>
          <w:sz w:val="20"/>
          <w:lang w:val="en-US"/>
        </w:rPr>
        <w:t>import</w:t>
      </w:r>
      <w:r w:rsidR="00182368">
        <w:rPr>
          <w:rFonts w:ascii="Times New Roman" w:hAnsi="Times New Roman" w:cs="Times New Roman"/>
          <w:sz w:val="20"/>
          <w:lang w:val="en-US"/>
        </w:rPr>
        <w:t>s</w:t>
      </w:r>
      <w:r w:rsidRPr="00BB2BE4">
        <w:rPr>
          <w:rFonts w:ascii="Times New Roman" w:hAnsi="Times New Roman" w:cs="Times New Roman"/>
          <w:sz w:val="20"/>
          <w:lang w:val="en-US"/>
        </w:rPr>
        <w:t xml:space="preserve"> mainly reflect </w:t>
      </w:r>
      <w:r w:rsidR="00182368">
        <w:rPr>
          <w:rFonts w:ascii="Times New Roman" w:hAnsi="Times New Roman" w:cs="Times New Roman"/>
          <w:sz w:val="20"/>
          <w:lang w:val="en-US"/>
        </w:rPr>
        <w:t xml:space="preserve">the </w:t>
      </w:r>
      <w:r w:rsidRPr="00BB2BE4">
        <w:rPr>
          <w:rFonts w:ascii="Times New Roman" w:hAnsi="Times New Roman" w:cs="Times New Roman"/>
          <w:sz w:val="20"/>
          <w:lang w:val="en-US"/>
        </w:rPr>
        <w:t>natural gas</w:t>
      </w:r>
      <w:r w:rsidR="00182368" w:rsidRPr="00182368">
        <w:rPr>
          <w:rFonts w:ascii="Times New Roman" w:hAnsi="Times New Roman" w:cs="Times New Roman"/>
          <w:sz w:val="20"/>
          <w:lang w:val="en-US"/>
        </w:rPr>
        <w:t xml:space="preserve"> </w:t>
      </w:r>
      <w:r w:rsidR="00182368">
        <w:rPr>
          <w:rFonts w:ascii="Times New Roman" w:hAnsi="Times New Roman" w:cs="Times New Roman"/>
          <w:sz w:val="20"/>
          <w:lang w:val="en-US"/>
        </w:rPr>
        <w:t>import</w:t>
      </w:r>
      <w:r w:rsidRPr="00BB2BE4">
        <w:rPr>
          <w:rFonts w:ascii="Times New Roman" w:hAnsi="Times New Roman" w:cs="Times New Roman"/>
          <w:sz w:val="20"/>
          <w:lang w:val="en-US"/>
        </w:rPr>
        <w:t>, which is exported and actually i</w:t>
      </w:r>
      <w:r w:rsidR="00182368">
        <w:rPr>
          <w:rFonts w:ascii="Times New Roman" w:hAnsi="Times New Roman" w:cs="Times New Roman"/>
          <w:sz w:val="20"/>
          <w:lang w:val="en-US"/>
        </w:rPr>
        <w:t>s</w:t>
      </w:r>
      <w:r w:rsidRPr="00BB2BE4">
        <w:rPr>
          <w:rFonts w:ascii="Times New Roman" w:hAnsi="Times New Roman" w:cs="Times New Roman"/>
          <w:sz w:val="20"/>
          <w:lang w:val="en-US"/>
        </w:rPr>
        <w:t xml:space="preserve"> transit</w:t>
      </w:r>
      <w:r w:rsidR="00182368">
        <w:rPr>
          <w:rFonts w:ascii="Times New Roman" w:hAnsi="Times New Roman" w:cs="Times New Roman"/>
          <w:sz w:val="20"/>
          <w:lang w:val="en-US"/>
        </w:rPr>
        <w:t>.</w:t>
      </w:r>
      <w:r w:rsidR="00FD7D30" w:rsidRPr="00BB2BE4">
        <w:rPr>
          <w:rFonts w:ascii="Times New Roman" w:hAnsi="Times New Roman" w:cs="Times New Roman"/>
          <w:sz w:val="20"/>
          <w:lang w:val="en-US"/>
        </w:rPr>
        <w:t xml:space="preserve"> </w:t>
      </w:r>
      <w:r w:rsidR="00182368" w:rsidRPr="00182368">
        <w:rPr>
          <w:rFonts w:ascii="Times New Roman" w:hAnsi="Times New Roman" w:cs="Times New Roman"/>
          <w:sz w:val="20"/>
          <w:lang w:val="en-US"/>
        </w:rPr>
        <w:t>Therefore, the values of the Import dependency and related Diversification of Import Counterparts indicators are calculated formally, and are not particularl</w:t>
      </w:r>
      <w:r w:rsidR="00182368">
        <w:rPr>
          <w:rFonts w:ascii="Times New Roman" w:hAnsi="Times New Roman" w:cs="Times New Roman"/>
          <w:sz w:val="20"/>
          <w:lang w:val="en-US"/>
        </w:rPr>
        <w:t>y important for evaluating the E</w:t>
      </w:r>
      <w:r w:rsidR="00182368" w:rsidRPr="00182368">
        <w:rPr>
          <w:rFonts w:ascii="Times New Roman" w:hAnsi="Times New Roman" w:cs="Times New Roman"/>
          <w:sz w:val="20"/>
          <w:lang w:val="en-US"/>
        </w:rPr>
        <w:t>nergy access and security subsystem in Azerbaijan</w:t>
      </w:r>
      <w:r w:rsidR="00182368">
        <w:rPr>
          <w:rFonts w:ascii="Times New Roman" w:hAnsi="Times New Roman" w:cs="Times New Roman"/>
          <w:sz w:val="20"/>
          <w:lang w:val="en-US"/>
        </w:rPr>
        <w:t>.</w:t>
      </w:r>
    </w:p>
    <w:p w:rsidR="00BC3AAF" w:rsidRPr="007B12AD" w:rsidRDefault="00584EE3" w:rsidP="000D4E89">
      <w:pPr>
        <w:ind w:firstLine="284"/>
        <w:jc w:val="both"/>
        <w:rPr>
          <w:rFonts w:ascii="Times New Roman" w:hAnsi="Times New Roman" w:cs="Times New Roman"/>
          <w:sz w:val="20"/>
          <w:lang w:val="en-US"/>
        </w:rPr>
      </w:pPr>
      <w:r w:rsidRPr="00F678F1">
        <w:rPr>
          <w:rFonts w:ascii="Times New Roman" w:hAnsi="Times New Roman" w:cs="Times New Roman"/>
          <w:sz w:val="20"/>
        </w:rPr>
        <w:t>Percentage of population using solid fuels for cooking</w:t>
      </w:r>
      <w:r w:rsidRPr="00584EE3">
        <w:rPr>
          <w:rFonts w:ascii="Times New Roman" w:hAnsi="Times New Roman" w:cs="Times New Roman"/>
          <w:sz w:val="20"/>
          <w:lang w:val="en-US"/>
        </w:rPr>
        <w:t xml:space="preserve"> </w:t>
      </w:r>
      <w:r w:rsidR="007B12AD">
        <w:rPr>
          <w:rFonts w:ascii="Times New Roman" w:hAnsi="Times New Roman" w:cs="Times New Roman"/>
          <w:sz w:val="20"/>
          <w:lang w:val="en-US"/>
        </w:rPr>
        <w:t>in Azerbaijan is pre</w:t>
      </w:r>
      <w:r w:rsidR="00755082">
        <w:rPr>
          <w:rFonts w:ascii="Times New Roman" w:hAnsi="Times New Roman" w:cs="Times New Roman"/>
          <w:sz w:val="20"/>
          <w:lang w:val="en-US"/>
        </w:rPr>
        <w:t>sented in Figure 15</w:t>
      </w:r>
      <w:r w:rsidR="007B12AD">
        <w:rPr>
          <w:rFonts w:ascii="Times New Roman" w:hAnsi="Times New Roman" w:cs="Times New Roman"/>
          <w:sz w:val="20"/>
          <w:lang w:val="en-US"/>
        </w:rPr>
        <w:t>.</w:t>
      </w:r>
      <w:r w:rsidRPr="00584EE3">
        <w:rPr>
          <w:rFonts w:ascii="Times New Roman" w:hAnsi="Times New Roman" w:cs="Times New Roman"/>
          <w:sz w:val="20"/>
          <w:lang w:val="en-US"/>
        </w:rPr>
        <w:t xml:space="preserve"> </w:t>
      </w:r>
      <w:r w:rsidR="007B12AD">
        <w:rPr>
          <w:rFonts w:ascii="Times New Roman" w:hAnsi="Times New Roman" w:cs="Times New Roman"/>
          <w:sz w:val="20"/>
          <w:lang w:val="en-US"/>
        </w:rPr>
        <w:t>As is obvious from the figure</w:t>
      </w:r>
      <w:r w:rsidRPr="007B12AD">
        <w:rPr>
          <w:rFonts w:ascii="Times New Roman" w:hAnsi="Times New Roman" w:cs="Times New Roman"/>
          <w:sz w:val="20"/>
          <w:lang w:val="en-US"/>
        </w:rPr>
        <w:t xml:space="preserve">, </w:t>
      </w:r>
      <w:r w:rsidR="007B12AD">
        <w:rPr>
          <w:rFonts w:ascii="Times New Roman" w:hAnsi="Times New Roman" w:cs="Times New Roman"/>
          <w:sz w:val="20"/>
          <w:lang w:val="en-US"/>
        </w:rPr>
        <w:t>this indicator is in a very high level</w:t>
      </w:r>
      <w:r w:rsidRPr="007B12AD">
        <w:rPr>
          <w:rFonts w:ascii="Times New Roman" w:hAnsi="Times New Roman" w:cs="Times New Roman"/>
          <w:sz w:val="20"/>
          <w:lang w:val="en-US"/>
        </w:rPr>
        <w:t xml:space="preserve">, </w:t>
      </w:r>
      <w:r w:rsidR="007B12AD">
        <w:rPr>
          <w:rFonts w:ascii="Times New Roman" w:hAnsi="Times New Roman" w:cs="Times New Roman"/>
          <w:sz w:val="20"/>
          <w:lang w:val="en-US"/>
        </w:rPr>
        <w:t>conforming to gasification level in the country</w:t>
      </w:r>
      <w:r w:rsidRPr="007B12AD">
        <w:rPr>
          <w:rFonts w:ascii="Times New Roman" w:hAnsi="Times New Roman" w:cs="Times New Roman"/>
          <w:sz w:val="20"/>
          <w:lang w:val="en-US"/>
        </w:rPr>
        <w:t xml:space="preserve">, </w:t>
      </w:r>
      <w:r w:rsidR="007B12AD" w:rsidRPr="007B12AD">
        <w:rPr>
          <w:rFonts w:ascii="Times New Roman" w:hAnsi="Times New Roman" w:cs="Times New Roman"/>
          <w:sz w:val="20"/>
          <w:lang w:val="en-US"/>
        </w:rPr>
        <w:t xml:space="preserve">although the value </w:t>
      </w:r>
      <w:r w:rsidR="007B12AD">
        <w:rPr>
          <w:rFonts w:ascii="Times New Roman" w:hAnsi="Times New Roman" w:cs="Times New Roman"/>
          <w:sz w:val="20"/>
          <w:lang w:val="en-US"/>
        </w:rPr>
        <w:t xml:space="preserve">of </w:t>
      </w:r>
      <w:r w:rsidR="007B12AD" w:rsidRPr="007B12AD">
        <w:rPr>
          <w:rFonts w:ascii="Times New Roman" w:hAnsi="Times New Roman" w:cs="Times New Roman"/>
          <w:sz w:val="20"/>
          <w:lang w:val="en-US"/>
        </w:rPr>
        <w:t xml:space="preserve">this indicator in the WEF report is significantly </w:t>
      </w:r>
      <w:r w:rsidR="007B12AD">
        <w:rPr>
          <w:rFonts w:ascii="Times New Roman" w:hAnsi="Times New Roman" w:cs="Times New Roman"/>
          <w:sz w:val="20"/>
          <w:lang w:val="en-US"/>
        </w:rPr>
        <w:t>worse</w:t>
      </w:r>
      <w:r w:rsidRPr="007B12AD">
        <w:rPr>
          <w:rFonts w:ascii="Times New Roman" w:hAnsi="Times New Roman" w:cs="Times New Roman"/>
          <w:sz w:val="20"/>
          <w:lang w:val="en-US"/>
        </w:rPr>
        <w:t xml:space="preserve">.  </w:t>
      </w:r>
    </w:p>
    <w:p w:rsidR="00AB0D7F" w:rsidRDefault="00AB0D7F" w:rsidP="00AB0D7F">
      <w:pPr>
        <w:jc w:val="both"/>
        <w:rPr>
          <w:rFonts w:ascii="Times New Roman" w:hAnsi="Times New Roman"/>
          <w:b/>
          <w:sz w:val="18"/>
          <w:szCs w:val="18"/>
          <w:lang w:val="en-GB"/>
        </w:rPr>
      </w:pPr>
      <w:r w:rsidRPr="00AB0D7F">
        <w:rPr>
          <w:noProof/>
          <w:sz w:val="20"/>
          <w:lang w:val="en-US" w:eastAsia="en-US"/>
        </w:rPr>
        <w:drawing>
          <wp:inline distT="0" distB="0" distL="0" distR="0">
            <wp:extent cx="2664000" cy="1910686"/>
            <wp:effectExtent l="19050" t="0" r="0"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AB0D7F">
        <w:rPr>
          <w:rFonts w:ascii="Times New Roman" w:hAnsi="Times New Roman"/>
          <w:b/>
          <w:sz w:val="18"/>
          <w:szCs w:val="18"/>
          <w:lang w:val="en-GB"/>
        </w:rPr>
        <w:t xml:space="preserve"> </w:t>
      </w:r>
    </w:p>
    <w:p w:rsidR="00457681" w:rsidRPr="00457681" w:rsidRDefault="00457681" w:rsidP="00755082">
      <w:pPr>
        <w:spacing w:before="170" w:after="170"/>
        <w:jc w:val="both"/>
        <w:rPr>
          <w:bCs/>
          <w:sz w:val="18"/>
          <w:szCs w:val="18"/>
          <w:lang w:val="en-US"/>
        </w:rPr>
      </w:pPr>
      <w:r w:rsidRPr="00CA1091">
        <w:rPr>
          <w:rFonts w:ascii="Times New Roman" w:hAnsi="Times New Roman"/>
          <w:b/>
          <w:sz w:val="18"/>
          <w:szCs w:val="18"/>
          <w:lang w:val="en-GB"/>
        </w:rPr>
        <w:t>Fig</w:t>
      </w:r>
      <w:r w:rsidRPr="007A6290">
        <w:rPr>
          <w:rFonts w:ascii="Times New Roman" w:hAnsi="Times New Roman"/>
          <w:b/>
          <w:sz w:val="18"/>
          <w:szCs w:val="18"/>
          <w:lang w:val="en-US"/>
        </w:rPr>
        <w:t xml:space="preserve">. </w:t>
      </w:r>
      <w:r w:rsidRPr="00457681">
        <w:rPr>
          <w:rFonts w:ascii="Times New Roman" w:hAnsi="Times New Roman"/>
          <w:b/>
          <w:sz w:val="18"/>
          <w:szCs w:val="18"/>
          <w:lang w:val="en-US"/>
        </w:rPr>
        <w:t>1</w:t>
      </w:r>
      <w:r w:rsidR="00755082">
        <w:rPr>
          <w:rFonts w:ascii="Times New Roman" w:hAnsi="Times New Roman"/>
          <w:b/>
          <w:sz w:val="18"/>
          <w:szCs w:val="18"/>
          <w:lang w:val="en-US"/>
        </w:rPr>
        <w:t>5</w:t>
      </w:r>
      <w:r w:rsidRPr="007A6290">
        <w:rPr>
          <w:rFonts w:ascii="Times New Roman" w:hAnsi="Times New Roman"/>
          <w:b/>
          <w:bCs/>
          <w:sz w:val="18"/>
          <w:szCs w:val="18"/>
          <w:lang w:val="en-US"/>
        </w:rPr>
        <w:t>.</w:t>
      </w:r>
      <w:r w:rsidRPr="007A6290">
        <w:rPr>
          <w:rFonts w:ascii="Times New Roman" w:hAnsi="Times New Roman"/>
          <w:sz w:val="18"/>
          <w:szCs w:val="18"/>
          <w:lang w:val="en-US"/>
        </w:rPr>
        <w:t xml:space="preserve"> </w:t>
      </w:r>
      <w:r w:rsidRPr="00457681">
        <w:rPr>
          <w:rFonts w:ascii="Times New Roman" w:hAnsi="Times New Roman" w:cs="Times New Roman"/>
          <w:bCs/>
          <w:sz w:val="18"/>
          <w:szCs w:val="18"/>
          <w:lang w:val="en-US"/>
        </w:rPr>
        <w:t>Percentage of population using solid fuels for cooking</w:t>
      </w:r>
      <w:r>
        <w:rPr>
          <w:rFonts w:ascii="Times New Roman" w:hAnsi="Times New Roman" w:cs="Times New Roman"/>
          <w:bCs/>
          <w:sz w:val="18"/>
          <w:szCs w:val="18"/>
          <w:lang w:val="en-US"/>
        </w:rPr>
        <w:t>, %</w:t>
      </w:r>
    </w:p>
    <w:p w:rsidR="00542872" w:rsidRPr="005973F5" w:rsidRDefault="005973F5" w:rsidP="000D4E89">
      <w:pPr>
        <w:pStyle w:val="Pa17"/>
        <w:spacing w:line="240" w:lineRule="auto"/>
        <w:ind w:firstLine="284"/>
        <w:jc w:val="both"/>
        <w:rPr>
          <w:rFonts w:ascii="Times New Roman" w:hAnsi="Times New Roman"/>
          <w:color w:val="000000"/>
          <w:sz w:val="17"/>
          <w:szCs w:val="17"/>
        </w:rPr>
      </w:pPr>
      <w:r w:rsidRPr="005973F5">
        <w:rPr>
          <w:rStyle w:val="A60"/>
          <w:rFonts w:ascii="Times New Roman" w:hAnsi="Times New Roman" w:cs="Times New Roman"/>
          <w:sz w:val="20"/>
          <w:szCs w:val="20"/>
        </w:rPr>
        <w:t xml:space="preserve">Taking into account all available indicators included in the system of indicators for evaluating individual subsystems of energy </w:t>
      </w:r>
      <w:r>
        <w:rPr>
          <w:rStyle w:val="A60"/>
          <w:rFonts w:ascii="Times New Roman" w:hAnsi="Times New Roman" w:cs="Times New Roman"/>
          <w:sz w:val="20"/>
          <w:szCs w:val="20"/>
        </w:rPr>
        <w:t xml:space="preserve">performance </w:t>
      </w:r>
      <w:r w:rsidRPr="005973F5">
        <w:rPr>
          <w:rStyle w:val="A60"/>
          <w:rFonts w:ascii="Times New Roman" w:hAnsi="Times New Roman" w:cs="Times New Roman"/>
          <w:sz w:val="20"/>
          <w:szCs w:val="20"/>
        </w:rPr>
        <w:t xml:space="preserve">efficiency in Azerbaijan, the values of energy </w:t>
      </w:r>
      <w:r>
        <w:rPr>
          <w:rStyle w:val="A60"/>
          <w:rFonts w:ascii="Times New Roman" w:hAnsi="Times New Roman" w:cs="Times New Roman"/>
          <w:sz w:val="20"/>
          <w:szCs w:val="20"/>
        </w:rPr>
        <w:t xml:space="preserve">sector performance </w:t>
      </w:r>
      <w:r w:rsidRPr="005973F5">
        <w:rPr>
          <w:rStyle w:val="A60"/>
          <w:rFonts w:ascii="Times New Roman" w:hAnsi="Times New Roman" w:cs="Times New Roman"/>
          <w:sz w:val="20"/>
          <w:szCs w:val="20"/>
        </w:rPr>
        <w:t>subsystems were recalculated and their updated values were d</w:t>
      </w:r>
      <w:r>
        <w:rPr>
          <w:rStyle w:val="A60"/>
          <w:rFonts w:ascii="Times New Roman" w:hAnsi="Times New Roman" w:cs="Times New Roman"/>
          <w:sz w:val="20"/>
          <w:szCs w:val="20"/>
        </w:rPr>
        <w:t>etermined: for 2017 for the E</w:t>
      </w:r>
      <w:r w:rsidRPr="005973F5">
        <w:rPr>
          <w:rStyle w:val="A60"/>
          <w:rFonts w:ascii="Times New Roman" w:hAnsi="Times New Roman" w:cs="Times New Roman"/>
          <w:sz w:val="20"/>
          <w:szCs w:val="20"/>
        </w:rPr>
        <w:t>conomic growth and development subsystem-0.68, for the Environmental sustainability subsystem-0.62, for the Energy access and security subsystem-0.8, while the Overall score was 0.7</w:t>
      </w:r>
    </w:p>
    <w:p w:rsidR="00AB0D7F" w:rsidRPr="005973F5" w:rsidRDefault="005973F5" w:rsidP="00755082">
      <w:pPr>
        <w:spacing w:after="170"/>
        <w:ind w:firstLine="284"/>
        <w:jc w:val="both"/>
        <w:rPr>
          <w:rFonts w:ascii="Times New Roman" w:hAnsi="Times New Roman" w:cs="Times New Roman"/>
          <w:sz w:val="20"/>
          <w:lang w:val="en-US"/>
        </w:rPr>
      </w:pPr>
      <w:r>
        <w:rPr>
          <w:rFonts w:ascii="Times New Roman" w:hAnsi="Times New Roman" w:cs="Times New Roman"/>
          <w:sz w:val="20"/>
          <w:lang w:val="en-US"/>
        </w:rPr>
        <w:t>T</w:t>
      </w:r>
      <w:r w:rsidRPr="005973F5">
        <w:rPr>
          <w:rFonts w:ascii="Times New Roman" w:hAnsi="Times New Roman" w:cs="Times New Roman"/>
          <w:sz w:val="20"/>
          <w:lang w:val="en-US"/>
        </w:rPr>
        <w:t xml:space="preserve">he energy triangle </w:t>
      </w:r>
      <w:r>
        <w:rPr>
          <w:rFonts w:ascii="Times New Roman" w:hAnsi="Times New Roman" w:cs="Times New Roman"/>
          <w:sz w:val="20"/>
          <w:lang w:val="en-US"/>
        </w:rPr>
        <w:t>“</w:t>
      </w:r>
      <w:r w:rsidRPr="005973F5">
        <w:rPr>
          <w:rFonts w:ascii="Times New Roman" w:hAnsi="Times New Roman" w:cs="Times New Roman"/>
          <w:sz w:val="20"/>
          <w:lang w:val="en-US"/>
        </w:rPr>
        <w:t>Energy Architecture Performance Index of Azerbaijan</w:t>
      </w:r>
      <w:r>
        <w:rPr>
          <w:rFonts w:ascii="Times New Roman" w:hAnsi="Times New Roman" w:cs="Times New Roman"/>
          <w:sz w:val="20"/>
          <w:lang w:val="en-US"/>
        </w:rPr>
        <w:t>”</w:t>
      </w:r>
      <w:r w:rsidRPr="005973F5">
        <w:rPr>
          <w:rFonts w:ascii="Times New Roman" w:hAnsi="Times New Roman" w:cs="Times New Roman"/>
          <w:sz w:val="20"/>
          <w:lang w:val="en-US"/>
        </w:rPr>
        <w:t xml:space="preserve"> for 2017 with updated values of subsystems</w:t>
      </w:r>
      <w:r>
        <w:rPr>
          <w:rFonts w:ascii="Times New Roman" w:hAnsi="Times New Roman" w:cs="Times New Roman"/>
          <w:sz w:val="20"/>
          <w:lang w:val="en-US"/>
        </w:rPr>
        <w:t xml:space="preserve"> is presented below in Figure 1</w:t>
      </w:r>
      <w:r w:rsidR="00755082">
        <w:rPr>
          <w:rFonts w:ascii="Times New Roman" w:hAnsi="Times New Roman" w:cs="Times New Roman"/>
          <w:sz w:val="20"/>
          <w:lang w:val="en-US"/>
        </w:rPr>
        <w:t>6</w:t>
      </w:r>
      <w:r w:rsidR="009C0954">
        <w:rPr>
          <w:rFonts w:ascii="Times New Roman" w:hAnsi="Times New Roman" w:cs="Times New Roman"/>
          <w:sz w:val="20"/>
          <w:lang w:val="en-US"/>
        </w:rPr>
        <w:t xml:space="preserve"> [15]</w:t>
      </w:r>
      <w:r>
        <w:rPr>
          <w:rFonts w:ascii="Times New Roman" w:hAnsi="Times New Roman" w:cs="Times New Roman"/>
          <w:sz w:val="20"/>
          <w:lang w:val="en-US"/>
        </w:rPr>
        <w:t>.</w:t>
      </w:r>
      <w:r w:rsidR="0050173D" w:rsidRPr="005973F5">
        <w:rPr>
          <w:rFonts w:ascii="Times New Roman" w:hAnsi="Times New Roman" w:cs="Times New Roman"/>
          <w:sz w:val="20"/>
          <w:lang w:val="en-US"/>
        </w:rPr>
        <w:t xml:space="preserve"> </w:t>
      </w:r>
    </w:p>
    <w:p w:rsidR="009A3555" w:rsidRPr="005973F5" w:rsidRDefault="00D027E5" w:rsidP="005663AD">
      <w:pPr>
        <w:jc w:val="both"/>
        <w:rPr>
          <w:rFonts w:asciiTheme="minorHAnsi" w:hAnsiTheme="minorHAnsi"/>
          <w:sz w:val="20"/>
          <w:lang w:val="en-US"/>
        </w:rPr>
      </w:pPr>
      <w:r w:rsidRPr="00D027E5">
        <w:rPr>
          <w:noProof/>
          <w:lang w:val="en-US" w:eastAsia="en-US"/>
        </w:rPr>
        <w:pict>
          <v:group id="_x0000_s1189" style="position:absolute;left:0;text-align:left;margin-left:0;margin-top:0;width:206.9pt;height:150.25pt;z-index:251781120" coordorigin="1134,1418" coordsize="4138,3144">
            <v:shapetype id="_x0000_t202" coordsize="21600,21600" o:spt="202" path="m,l,21600r21600,l21600,xe">
              <v:stroke joinstyle="miter"/>
              <v:path gradientshapeok="t" o:connecttype="rect"/>
            </v:shapetype>
            <v:shape id="_x0000_s1125" type="#_x0000_t202" style="position:absolute;left:1750;top:1418;width:3241;height:276;mso-width-relative:margin;mso-height-relative:margin" o:regroupid="8" stroked="f">
              <v:textbox style="mso-next-textbox:#_x0000_s1125" inset="0,0,0,0">
                <w:txbxContent>
                  <w:p w:rsidR="00FD7444" w:rsidRPr="00FD7444" w:rsidRDefault="00FD7444" w:rsidP="00FD7444">
                    <w:pPr>
                      <w:spacing w:before="40" w:after="120"/>
                      <w:rPr>
                        <w:rFonts w:ascii="Times New Roman" w:hAnsi="Times New Roman" w:cs="Times New Roman"/>
                        <w:b/>
                        <w:i/>
                        <w:sz w:val="18"/>
                        <w:szCs w:val="18"/>
                      </w:rPr>
                    </w:pPr>
                    <w:r w:rsidRPr="00FD7444">
                      <w:rPr>
                        <w:rFonts w:ascii="Times New Roman" w:hAnsi="Times New Roman" w:cs="Times New Roman"/>
                        <w:b/>
                        <w:i/>
                        <w:sz w:val="18"/>
                        <w:szCs w:val="18"/>
                      </w:rPr>
                      <w:t>Economic growth and development</w:t>
                    </w:r>
                  </w:p>
                  <w:p w:rsidR="00FD7444" w:rsidRPr="00FD7444" w:rsidRDefault="00FD7444" w:rsidP="00FD7444">
                    <w:pPr>
                      <w:spacing w:before="40" w:after="120"/>
                      <w:rPr>
                        <w:rFonts w:ascii="Times New Roman" w:hAnsi="Times New Roman" w:cs="Times New Roman"/>
                        <w:sz w:val="18"/>
                        <w:szCs w:val="18"/>
                      </w:rPr>
                    </w:pPr>
                  </w:p>
                </w:txbxContent>
              </v:textbox>
            </v:shape>
            <v:shape id="_x0000_s1126" type="#_x0000_t202" style="position:absolute;left:3914;top:4018;width:1358;height:544;mso-width-relative:margin;mso-height-relative:margin" o:regroupid="8" stroked="f">
              <v:textbox style="mso-next-textbox:#_x0000_s1126" inset="0,0,0,0">
                <w:txbxContent>
                  <w:p w:rsidR="00FD7444" w:rsidRPr="00FD7444" w:rsidRDefault="00FD7444" w:rsidP="00FD7444">
                    <w:pPr>
                      <w:spacing w:before="40" w:after="120"/>
                      <w:rPr>
                        <w:rFonts w:ascii="Times New Roman" w:hAnsi="Times New Roman" w:cs="Times New Roman"/>
                        <w:b/>
                        <w:i/>
                        <w:sz w:val="18"/>
                        <w:szCs w:val="18"/>
                      </w:rPr>
                    </w:pPr>
                    <w:r w:rsidRPr="00FD7444">
                      <w:rPr>
                        <w:rFonts w:ascii="Times New Roman" w:hAnsi="Times New Roman" w:cs="Times New Roman"/>
                        <w:b/>
                        <w:i/>
                        <w:sz w:val="18"/>
                        <w:szCs w:val="18"/>
                      </w:rPr>
                      <w:t>Environmental sustainability</w:t>
                    </w:r>
                  </w:p>
                  <w:p w:rsidR="00FD7444" w:rsidRPr="00FD7444" w:rsidRDefault="00FD7444" w:rsidP="00FD7444">
                    <w:pPr>
                      <w:spacing w:before="40" w:after="120"/>
                      <w:rPr>
                        <w:rFonts w:ascii="Times New Roman" w:hAnsi="Times New Roman" w:cs="Times New Roman"/>
                        <w:sz w:val="18"/>
                        <w:szCs w:val="18"/>
                      </w:rPr>
                    </w:pPr>
                  </w:p>
                </w:txbxContent>
              </v:textbox>
            </v:shape>
            <v:shape id="_x0000_s1127" type="#_x0000_t202" style="position:absolute;left:1134;top:4052;width:1605;height:494;mso-width-relative:margin;mso-height-relative:margin" o:regroupid="8" filled="f" stroked="f">
              <v:textbox style="mso-next-textbox:#_x0000_s1127" inset="0,0,0,0">
                <w:txbxContent>
                  <w:p w:rsidR="00FD7444" w:rsidRPr="00CB7989" w:rsidRDefault="00FD7444" w:rsidP="00FD7444">
                    <w:pPr>
                      <w:spacing w:before="40" w:after="120"/>
                      <w:jc w:val="right"/>
                      <w:rPr>
                        <w:rFonts w:ascii="Times New Roman" w:hAnsi="Times New Roman" w:cs="Times New Roman"/>
                        <w:b/>
                        <w:i/>
                        <w:sz w:val="18"/>
                        <w:szCs w:val="18"/>
                      </w:rPr>
                    </w:pPr>
                    <w:r w:rsidRPr="00CB7989">
                      <w:rPr>
                        <w:rFonts w:ascii="Times New Roman" w:hAnsi="Times New Roman" w:cs="Times New Roman"/>
                        <w:b/>
                        <w:i/>
                        <w:sz w:val="18"/>
                        <w:szCs w:val="18"/>
                      </w:rPr>
                      <w:t>Energy access and security</w:t>
                    </w:r>
                  </w:p>
                  <w:p w:rsidR="00FD7444" w:rsidRPr="00FD7444" w:rsidRDefault="00FD7444" w:rsidP="00FD7444">
                    <w:pPr>
                      <w:spacing w:before="40" w:after="120"/>
                      <w:rPr>
                        <w:rFonts w:ascii="Times New Roman" w:hAnsi="Times New Roman" w:cs="Times New Roman"/>
                        <w:sz w:val="18"/>
                        <w:szCs w:val="18"/>
                      </w:rPr>
                    </w:pPr>
                  </w:p>
                </w:txbxContent>
              </v:textbox>
            </v:shape>
            <v:shape id="Надпись 2" o:spid="_x0000_s1129" type="#_x0000_t202" style="position:absolute;left:4545;top:3878;width:267;height:258;visibility:visible" o:regroupid="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kATsUA&#10;AADcAAAADwAAAGRycy9kb3ducmV2LnhtbESPQWvCQBSE70L/w/IKvelGC2JSV5GiIBSkMR56fM0+&#10;k8Xs25hdNf33bkHwOMzMN8x82dtGXKnzxrGC8SgBQVw6bbhScCg2wxkIH5A1No5JwR95WC5eBnPM&#10;tLtxTtd9qESEsM9QQR1Cm0npy5os+pFriaN3dJ3FEGVXSd3hLcJtIydJMpUWDceFGlv6rKk87S9W&#10;weqH87U5736/82NuiiJN+Gt6UurttV99gAjUh2f40d5qBe/jFP7P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QBOxQAAANwAAAAPAAAAAAAAAAAAAAAAAJgCAABkcnMv&#10;ZG93bnJldi54bWxQSwUGAAAAAAQABAD1AAAAigMAAAAA&#10;" filled="f" stroked="f">
              <v:textbox style="mso-next-textbox:#Надпись 2" inset="0,0,0,0">
                <w:txbxContent/>
              </v:textbox>
            </v:shape>
            <v:shape id="_x0000_s1130" type="#_x0000_t202" style="position:absolute;left:1637;top:3866;width:267;height:258;visibility:visible" o:regroupid="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PG9cQA&#10;AADcAAAADwAAAGRycy9kb3ducmV2LnhtbESPQWvCQBSE74L/YXmCN92oIBpdRYpCQSiN6aHHZ/aZ&#10;LGbfptmtxn/fLQgeh5n5hllvO1uLG7XeOFYwGScgiAunDZcKvvLDaAHCB2SNtWNS8CAP202/t8ZU&#10;uztndDuFUkQI+xQVVCE0qZS+qMiiH7uGOHoX11oMUbal1C3eI9zWcpokc2nRcFyosKG3iorr6dcq&#10;2H1ztjc/H+fP7JKZPF8mfJxflRoOut0KRKAuvMLP9rtWMJtO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jxvXEAAAA3AAAAA8AAAAAAAAAAAAAAAAAmAIAAGRycy9k&#10;b3ducmV2LnhtbFBLBQYAAAAABAAEAPUAAACJAwAAAAA=&#10;" filled="f" stroked="f">
              <v:textbox style="mso-next-textbox:#_x0000_s1130" inset="0,0,0,0">
                <w:txbxContent>
                  <w:p w:rsidR="00FD7444" w:rsidRPr="00FD7444" w:rsidRDefault="00FD7444" w:rsidP="00FD7444">
                    <w:pPr>
                      <w:spacing w:before="40" w:after="120"/>
                      <w:rPr>
                        <w:rFonts w:ascii="Times New Roman" w:hAnsi="Times New Roman" w:cs="Times New Roman"/>
                        <w:b/>
                        <w:sz w:val="18"/>
                        <w:szCs w:val="18"/>
                        <w:lang w:val="az-Latn-AZ"/>
                      </w:rPr>
                    </w:pPr>
                    <w:r w:rsidRPr="00FD7444">
                      <w:rPr>
                        <w:rFonts w:ascii="Times New Roman" w:hAnsi="Times New Roman" w:cs="Times New Roman"/>
                        <w:b/>
                        <w:sz w:val="18"/>
                        <w:szCs w:val="18"/>
                        <w:lang w:val="az-Latn-AZ"/>
                      </w:rPr>
                      <w:t>1</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79" o:spid="_x0000_s1131" type="#_x0000_t5" style="position:absolute;left:1769;top:1745;width:2710;height:2214;visibility:visible" o:regroupid="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Sf0MIA&#10;AADaAAAADwAAAGRycy9kb3ducmV2LnhtbESPT4vCMBTE7wt+h/CEvSya6sE/1SgiiIsX0Yrg7dE8&#10;29LmpTSpdr/9RhA8DjPzG2a57kwlHtS4wrKC0TACQZxaXXCm4JLsBjMQziNrrCyTgj9ysF71vpYY&#10;a/vkEz3OPhMBwi5GBbn3dSylS3My6Ia2Jg7e3TYGfZBNJnWDzwA3lRxH0UQaLDgs5FjTNqe0PLdG&#10;AZa368Hoo2yTrIj2t/ZnmpSk1He/2yxAeOr8J/xu/2oFc3hdCT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ZJ/QwgAAANoAAAAPAAAAAAAAAAAAAAAAAJgCAABkcnMvZG93&#10;bnJldi54bWxQSwUGAAAAAAQABAD1AAAAhwMAAAAA&#10;"/>
            <v:shapetype id="_x0000_t32" coordsize="21600,21600" o:spt="32" o:oned="t" path="m,l21600,21600e" filled="f">
              <v:path arrowok="t" fillok="f" o:connecttype="none"/>
              <o:lock v:ext="edit" shapetype="t"/>
            </v:shapetype>
            <v:shape id="AutoShape 181" o:spid="_x0000_s1132" type="#_x0000_t32" style="position:absolute;left:3117;top:2141;width:238;height:0;rotation:30;flip:x;visibility:visible"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HAo8QAAADbAAAADwAAAGRycy9kb3ducmV2LnhtbESPS2vDMBCE74X+B7GFXEIi94FT3Cih&#10;BAdKbnn1vFhb2cRaGUuN3X/fPQRy22VmZ75drkffqiv1sQls4HmegSKugm3YGTgdt7N3UDEhW2wD&#10;k4E/irBePT4ssbBh4D1dD8kpCeFYoIE6pa7QOlY1eYzz0BGL9hN6j0nW3mnb4yDhvtUvWZZrjw1L&#10;Q40dbWqqLodfb2DxWr5NL7ocp9GVw3ezy93mnBszeRo/P0AlGtPdfLv+soIv9PKLDK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ocCjxAAAANsAAAAPAAAAAAAAAAAA&#10;AAAAAKECAABkcnMvZG93bnJldi54bWxQSwUGAAAAAAQABAD5AAAAkgMAAAAA&#10;" strokecolor="#5a5a5a">
              <v:stroke dashstyle="dash"/>
            </v:shape>
            <v:shape id="AutoShape 182" o:spid="_x0000_s1133" type="#_x0000_t32" style="position:absolute;left:3112;top:2004;width:143;height:0;rotation:30;flip:x;visibility:visible"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1lOMEAAADbAAAADwAAAGRycy9kb3ducmV2LnhtbERPS2vCQBC+F/wPywhepG60JZXUVUQi&#10;SG+Nj/OQnW6C2dmQXU38926h0Nt8fM9ZbQbbiDt1vnasYD5LQBCXTtdsFJyO+9clCB+QNTaOScGD&#10;PGzWo5cVZtr1/E33IhgRQ9hnqKAKoc2k9GVFFv3MtcSR+3GdxRBhZ6TusI/htpGLJEmlxZpjQ4Ut&#10;7Soqr8XNKvh4y9+nV5kPU2/y/lJ/pWZ3TpWajIftJ4hAQ/gX/7kPOs6fw+8v8QC5f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7WU4wQAAANsAAAAPAAAAAAAAAAAAAAAA&#10;AKECAABkcnMvZG93bnJldi54bWxQSwUGAAAAAAQABAD5AAAAjwMAAAAA&#10;" strokecolor="#5a5a5a">
              <v:stroke dashstyle="dash"/>
            </v:shape>
            <v:shape id="AutoShape 183" o:spid="_x0000_s1134" type="#_x0000_t32" style="position:absolute;left:3134;top:2266;width:286;height:0;rotation:30;flip:x;visibility:visible"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7T8EAAADbAAAADwAAAGRycy9kb3ducmV2LnhtbERPTWvCQBC9F/wPywhepG6qJS2pqxSJ&#10;IN4atechO90Es7Mhu5r4711B6G0e73OW68E24kqdrx0reJslIIhLp2s2Co6H7esnCB+QNTaOScGN&#10;PKxXo5clZtr1/EPXIhgRQ9hnqKAKoc2k9GVFFv3MtcSR+3OdxRBhZ6TusI/htpHzJEmlxZpjQ4Ut&#10;bSoqz8XFKvhY5O/Ts8yHqTd5/1vvU7M5pUpNxsP3F4hAQ/gXP907HefP4fFLPEC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P/tPwQAAANsAAAAPAAAAAAAAAAAAAAAA&#10;AKECAABkcnMvZG93bnJldi54bWxQSwUGAAAAAAQABAD5AAAAjwMAAAAA&#10;" strokecolor="#5a5a5a">
              <v:stroke dashstyle="dash"/>
            </v:shape>
            <v:shape id="AutoShape 184" o:spid="_x0000_s1135" type="#_x0000_t32" style="position:absolute;left:3242;top:2389;width:227;height:0;rotation:30;flip:x;visibility:visible"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Ne1MEAAADbAAAADwAAAGRycy9kb3ducmV2LnhtbERPTWvCQBC9C/6HZQQvUjdVSUvqKkUi&#10;FG9G7XnITjfB7GzIrib9992C4G0e73PW28E24k6drx0reJ0nIIhLp2s2Cs6n/cs7CB+QNTaOScEv&#10;edhuxqM1Ztr1fKR7EYyIIewzVFCF0GZS+rIii37uWuLI/bjOYoiwM1J32Mdw28hFkqTSYs2xocKW&#10;dhWV1+JmFbwt89XsKvNh5k3ef9eH1OwuqVLTyfD5ASLQEJ7ih/tLx/lL+P8lHiA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c17UwQAAANsAAAAPAAAAAAAAAAAAAAAA&#10;AKECAABkcnMvZG93bnJldi54bWxQSwUGAAAAAAQABAD5AAAAjwMAAAAA&#10;" strokecolor="#5a5a5a">
              <v:stroke dashstyle="dash"/>
            </v:shape>
            <v:shape id="AutoShape 185" o:spid="_x0000_s1136" type="#_x0000_t32" style="position:absolute;left:3309;top:2509;width:227;height:0;rotation:30;flip:x;visibility:visible"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rGoMEAAADbAAAADwAAAGRycy9kb3ducmV2LnhtbERPTWvCQBC9C/6HZQQvUjdVSUvqKkUi&#10;SG9G7XnITjfB7GzIrib9992C4G0e73PW28E24k6drx0reJ0nIIhLp2s2Cs6n/cs7CB+QNTaOScEv&#10;edhuxqM1Ztr1fKR7EYyIIewzVFCF0GZS+rIii37uWuLI/bjOYoiwM1J32Mdw28hFkqTSYs2xocKW&#10;dhWV1+JmFbwt89XsKvNh5k3ef9dfqdldUqWmk+HzA0SgITzFD/dBx/kr+P8lHiA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msagwQAAANsAAAAPAAAAAAAAAAAAAAAA&#10;AKECAABkcnMvZG93bnJldi54bWxQSwUGAAAAAAQABAD5AAAAjwMAAAAA&#10;" strokecolor="#5a5a5a">
              <v:stroke dashstyle="dash"/>
            </v:shape>
            <v:shape id="AutoShape 186" o:spid="_x0000_s1137" type="#_x0000_t32" style="position:absolute;left:3344;top:2640;width:283;height:0;rotation:30;flip:x;visibility:visible"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ZjO8IAAADbAAAADwAAAGRycy9kb3ducmV2LnhtbERPS2vCQBC+C/0PyxR6kbqx2igxq4hE&#10;KN60j/OQHTch2dmQ3Zr033cLBW/z8T0n3422FTfqfe1YwXyWgCAuna7ZKPh4Pz6vQfiArLF1TAp+&#10;yMNu+zDJMdNu4DPdLsGIGMI+QwVVCF0mpS8rsuhnriOO3NX1FkOEvZG6xyGG21a+JEkqLdYcGyrs&#10;6FBR2Vy+rYLVolhOG1mMU2+K4as+pebwmSr19DjuNyACjeEu/ne/6Tj/Ff5+iQfI7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dZjO8IAAADbAAAADwAAAAAAAAAAAAAA&#10;AAChAgAAZHJzL2Rvd25yZXYueG1sUEsFBgAAAAAEAAQA+QAAAJADAAAAAA==&#10;" strokecolor="#5a5a5a">
              <v:stroke dashstyle="dash"/>
            </v:shape>
            <v:shape id="AutoShape 187" o:spid="_x0000_s1138" type="#_x0000_t32" style="position:absolute;left:3433;top:2769;width:283;height:0;rotation:30;flip:x;visibility:visible"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T9TMAAAADbAAAADwAAAGRycy9kb3ducmV2LnhtbERPTYvCMBC9C/6HMIIX0XRdqVKNIlJh&#10;8bbu6nloxrTYTEqTtfXfbxaEvc3jfc5m19taPKj1lWMFb7MEBHHhdMVGwffXcboC4QOyxtoxKXiS&#10;h912ONhgpl3Hn/Q4ByNiCPsMFZQhNJmUvijJop+5hjhyN9daDBG2RuoWuxhuazlPklRarDg2lNjQ&#10;oaTifv6xCpbv+WJyl3k/8SbvrtUpNYdLqtR41O/XIAL14V/8cn/oOD+Fv1/iAXL7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0E/UzAAAAA2wAAAA8AAAAAAAAAAAAAAAAA&#10;oQIAAGRycy9kb3ducmV2LnhtbFBLBQYAAAAABAAEAPkAAACOAwAAAAA=&#10;" strokecolor="#5a5a5a">
              <v:stroke dashstyle="dash"/>
            </v:shape>
            <v:shape id="AutoShape 188" o:spid="_x0000_s1139" type="#_x0000_t32" style="position:absolute;left:3504;top:2899;width:283;height:0;rotation:30;flip:x;visibility:visible"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hY18AAAADbAAAADwAAAGRycy9kb3ducmV2LnhtbERPTYvCMBC9C/6HMMJeRNPdlSrVKCJd&#10;EG/qruehGdNiMylN1nb/vVkQvM3jfc5q09ta3Kn1lWMF79MEBHHhdMVGwff5a7IA4QOyxtoxKfgj&#10;D5v1cLDCTLuOj3Q/BSNiCPsMFZQhNJmUvijJop+6hjhyV9daDBG2RuoWuxhua/mRJKm0WHFsKLGh&#10;XUnF7fRrFcw/89n4JvN+7E3eXapDanY/qVJvo367BBGoDy/x073Xcf4c/n+JB8j1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JIWNfAAAAA2wAAAA8AAAAAAAAAAAAAAAAA&#10;oQIAAGRycy9kb3ducmV2LnhtbFBLBQYAAAAABAAEAPkAAACOAwAAAAA=&#10;" strokecolor="#5a5a5a">
              <v:stroke dashstyle="dash"/>
            </v:shape>
            <v:shape id="AutoShape 189" o:spid="_x0000_s1140" type="#_x0000_t32" style="position:absolute;left:3579;top:3033;width:283;height:0;rotation:30;flip:x;visibility:visible"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fMpcQAAADbAAAADwAAAGRycy9kb3ducmV2LnhtbESPS2vDMBCE74X+B7GFXEIi94FT3Cih&#10;BAdKbnn1vFhb2cRaGUuN3X/fPQRy22VmZ75drkffqiv1sQls4HmegSKugm3YGTgdt7N3UDEhW2wD&#10;k4E/irBePT4ssbBh4D1dD8kpCeFYoIE6pa7QOlY1eYzz0BGL9hN6j0nW3mnb4yDhvtUvWZZrjw1L&#10;Q40dbWqqLodfb2DxWr5NL7ocp9GVw3ezy93mnBszeRo/P0AlGtPdfLv+soIvsPKLDK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18ylxAAAANsAAAAPAAAAAAAAAAAA&#10;AAAAAKECAABkcnMvZG93bnJldi54bWxQSwUGAAAAAAQABAD5AAAAkgMAAAAA&#10;" strokecolor="#5a5a5a">
              <v:stroke dashstyle="dash"/>
            </v:shape>
            <v:shape id="AutoShape 190" o:spid="_x0000_s1141" type="#_x0000_t32" style="position:absolute;left:3662;top:3171;width:283;height:0;rotation:30;flip:x;visibility:visible"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tpPsIAAADbAAAADwAAAGRycy9kb3ducmV2LnhtbERPTWvCQBC9F/oflin0IrppLbFN3YQi&#10;EcRbrfY8ZKebYHY2ZLcm/ntXELzN433OshhtK07U+8axgpdZAoK4crpho2D/s56+g/ABWWPrmBSc&#10;yUORPz4sMdNu4G867YIRMYR9hgrqELpMSl/VZNHPXEccuT/XWwwR9kbqHocYblv5miSptNhwbKix&#10;o1VN1XH3bxUs5uXb5CjLceJNOfw229SsDqlSz0/j1yeIQGO4i2/ujY7zP+D6SzxA5h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JtpPsIAAADbAAAADwAAAAAAAAAAAAAA&#10;AAChAgAAZHJzL2Rvd25yZXYueG1sUEsFBgAAAAAEAAQA+QAAAJADAAAAAA==&#10;" strokecolor="#5a5a5a">
              <v:stroke dashstyle="dash"/>
            </v:shape>
            <v:shape id="AutoShape 191" o:spid="_x0000_s1142" type="#_x0000_t32" style="position:absolute;left:3747;top:3306;width:283;height:0;rotation:30;flip:x;visibility:visible"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0KHr8AAADbAAAADwAAAGRycy9kb3ducmV2LnhtbERPy4rCMBTdD/gP4QpuRNNxhirVKCIV&#10;htn5XF+aa1psbkqTsfXvzWLA5eG8V5ve1uJBra8cK/icJiCIC6crNgrOp/1kAcIHZI21Y1LwJA+b&#10;9eBjhZl2HR/ocQxGxBD2GSooQ2gyKX1RkkU/dQ1x5G6utRgibI3ULXYx3NZyliSptFhxbCixoV1J&#10;xf34ZxXMv/Lv8V3m/dibvLtWv6nZXVKlRsN+uwQRqA9v8b/7RyuYxfXxS/wBcv0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80KHr8AAADbAAAADwAAAAAAAAAAAAAAAACh&#10;AgAAZHJzL2Rvd25yZXYueG1sUEsFBgAAAAAEAAQA+QAAAI0DAAAAAA==&#10;" strokecolor="#5a5a5a">
              <v:stroke dashstyle="dash"/>
            </v:shape>
            <v:shape id="AutoShape 192" o:spid="_x0000_s1143" type="#_x0000_t32" style="position:absolute;left:3833;top:3445;width:283;height:0;rotation:30;flip:x;visibility:visible"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GvhcQAAADbAAAADwAAAGRycy9kb3ducmV2LnhtbESPW4vCMBSE34X9D+Es7Ito6oWudI2y&#10;SBfENy/r86E5psXmpDRZ2/33RhB8HGbmG2a57m0tbtT6yrGCyTgBQVw4XbFRcDr+jBYgfEDWWDsm&#10;Bf/kYb16Gywx067jPd0OwYgIYZ+hgjKEJpPSFyVZ9GPXEEfv4lqLIcrWSN1iF+G2ltMkSaXFiuNC&#10;iQ1tSiquhz+r4HOWz4dXmfdDb/LuXO1Ss/lNlfp477+/QATqwyv8bG+1gukEHl/iD5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ga+FxAAAANsAAAAPAAAAAAAAAAAA&#10;AAAAAKECAABkcnMvZG93bnJldi54bWxQSwUGAAAAAAQABAD5AAAAkgMAAAAA&#10;" strokecolor="#5a5a5a">
              <v:stroke dashstyle="dash"/>
            </v:shape>
            <v:shape id="AutoShape 193" o:spid="_x0000_s1144" type="#_x0000_t32" style="position:absolute;left:3944;top:3569;width:238;height:0;rotation:30;flip:x;visibility:visible"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Mx8sMAAADbAAAADwAAAGRycy9kb3ducmV2LnhtbESPQWvCQBSE74L/YXlCL6IbU4kldRWR&#10;FMSb2vb8yL5ugtm3Ibs16b93C4LHYWa+YdbbwTbiRp2vHStYzBMQxKXTNRsFn5eP2RsIH5A1No5J&#10;wR952G7GozXm2vV8ots5GBEh7HNUUIXQ5lL6siKLfu5a4uj9uM5iiLIzUnfYR7htZJokmbRYc1yo&#10;sKV9ReX1/GsVrF6L5fQqi2HqTdF/18fM7L8ypV4mw+4dRKAhPMOP9kErSFP4/xJ/gN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TMfLDAAAA2wAAAA8AAAAAAAAAAAAA&#10;AAAAoQIAAGRycy9kb3ducmV2LnhtbFBLBQYAAAAABAAEAPkAAACRAwAAAAA=&#10;" strokecolor="#5a5a5a">
              <v:stroke dashstyle="dash"/>
            </v:shape>
            <v:shape id="AutoShape 194" o:spid="_x0000_s1145" type="#_x0000_t32" style="position:absolute;left:4063;top:3658;width:191;height:0;rotation:30;flip:x;visibility:visible"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UacMAAADbAAAADwAAAGRycy9kb3ducmV2LnhtbESPT4vCMBTE78J+h/AW9iKa+oeudI2y&#10;SBfEm+6u50fzTIvNS2mird/eCILHYWZ+wyzXva3FlVpfOVYwGScgiAunKzYK/n5/RgsQPiBrrB2T&#10;ght5WK/eBkvMtOt4T9dDMCJC2GeooAyhyaT0RUkW/dg1xNE7udZiiLI1UrfYRbit5TRJUmmx4rhQ&#10;YkObkorz4WIVfM7y+fAs837oTd4dq11qNv+pUh/v/fcXiEB9eIWf7a1WMJ3B40v8A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flGnDAAAA2wAAAA8AAAAAAAAAAAAA&#10;AAAAoQIAAGRycy9kb3ducmV2LnhtbFBLBQYAAAAABAAEAPkAAACRAwAAAAA=&#10;" strokecolor="#5a5a5a">
              <v:stroke dashstyle="dash"/>
            </v:shape>
            <v:shape id="AutoShape 195" o:spid="_x0000_s1146" type="#_x0000_t32" style="position:absolute;left:2971;top:2004;width:142;height:0;rotation:-30;flip:x;visibility:visible"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EsLMYAAADbAAAADwAAAGRycy9kb3ducmV2LnhtbESPQWvCQBCF70L/wzIFb7qbUIqkrlKC&#10;giWFovXQ3sbsNAnNzsbsqvHfuwWhx8eb97158+VgW3Gm3jeONSRTBYK4dKbhSsP+cz2ZgfAB2WDr&#10;mDRcycNy8TCaY2bchbd03oVKRAj7DDXUIXSZlL6syaKfuo44ej+utxii7CtperxEuG1lqtSztNhw&#10;bKixo7ym8nd3svGN5Hu76r7ej29qf1AqV4fhoyi0Hj8Ory8gAg3h//ie3hgN6RP8bYkA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wxLCzGAAAA2wAAAA8AAAAAAAAA&#10;AAAAAAAAoQIAAGRycy9kb3ducmV2LnhtbFBLBQYAAAAABAAEAPkAAACUAwAAAAA=&#10;" strokecolor="#5a5a5a">
              <v:stroke dashstyle="dash"/>
            </v:shape>
            <v:shape id="AutoShape 196" o:spid="_x0000_s1147" type="#_x0000_t32" style="position:absolute;left:2894;top:2146;width:239;height:0;rotation:-30;flip:x;visibility:visible"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8XwMYAAADbAAAADwAAAGRycy9kb3ducmV2LnhtbESPT2vCQBDF7wW/wzJCb2ZXDyIxqxRp&#10;QVEQ/xza25idJqHZ2TS7TeK37xaEHh9v3u/Ny9aDrUVHra8ca5gmCgRx7kzFhYbr5W2yAOEDssHa&#10;MWm4k4f1avSUYWpczyfqzqEQEcI+RQ1lCE0qpc9LsugT1xBH79O1FkOUbSFNi32E21rOlJpLixXH&#10;hhIb2pSUf51/bHxj+nF6bd4P3zt1vSm1UbfhuN9r/TweXpYgAg3h//iR3hoNszn8bYkA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OvF8DGAAAA2wAAAA8AAAAAAAAA&#10;AAAAAAAAoQIAAGRycy9kb3ducmV2LnhtbFBLBQYAAAAABAAEAPkAAACUAwAAAAA=&#10;" strokecolor="#5a5a5a">
              <v:stroke dashstyle="dash"/>
            </v:shape>
            <v:shape id="AutoShape 197" o:spid="_x0000_s1148" type="#_x0000_t32" style="position:absolute;left:2827;top:2292;width:227;height:0;rotation:-30;flip:x;visibility:visible"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OyW8YAAADbAAAADwAAAGRycy9kb3ducmV2LnhtbESPQWvCQBCF70L/wzIFb7qbHFpJXaUE&#10;BUsKReuhvY3ZaRKanY3ZVeO/dwtCj48373vz5svBtuJMvW8ca0imCgRx6UzDlYb953oyA+EDssHW&#10;MWm4kofl4mE0x8y4C2/pvAuViBD2GWqoQ+gyKX1Zk0U/dR1x9H5cbzFE2VfS9HiJcNvKVKknabHh&#10;2FBjR3lN5e/uZOMbyfd21X29H9/U/qBUrg7DR1FoPX4cXl9ABBrC//E9vTEa0mf42xIB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zjslvGAAAA2wAAAA8AAAAAAAAA&#10;AAAAAAAAoQIAAGRycy9kb3ducmV2LnhtbFBLBQYAAAAABAAEAPkAAACUAwAAAAA=&#10;" strokecolor="#5a5a5a">
              <v:stroke dashstyle="dash"/>
            </v:shape>
            <v:shape id="AutoShape 198" o:spid="_x0000_s1149" type="#_x0000_t32" style="position:absolute;left:2762;top:2417;width:227;height:0;rotation:-30;flip:x;visibility:visible"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wmKcQAAADbAAAADwAAAGRycy9kb3ducmV2LnhtbESPwWoCQQyG7wXfYYjQW53Rg5Sto4go&#10;tFgQrQe9xZ24u7iTWXdGXd++ORR6DH/+L18ms87X6k5trAJbGA4MKOI8uIoLC/uf1ds7qJiQHdaB&#10;ycKTIsymvZcJZi48eEv3XSqUQDhmaKFMqcm0jnlJHuMgNMSSnUPrMcnYFtq1+BC4r/XImLH2WLFc&#10;KLGhRUn5ZXfzojE8bpfN4fv6ZfYnYxbm1G3Wa2tf+938A1SiLv0v/7U/nYWRyMovAgA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fCYpxAAAANsAAAAPAAAAAAAAAAAA&#10;AAAAAKECAABkcnMvZG93bnJldi54bWxQSwUGAAAAAAQABAD5AAAAkgMAAAAA&#10;" strokecolor="#5a5a5a">
              <v:stroke dashstyle="dash"/>
            </v:shape>
            <v:shape id="AutoShape 199" o:spid="_x0000_s1150" type="#_x0000_t32" style="position:absolute;left:2686;top:2537;width:227;height:0;rotation:-30;flip:x;visibility:visible"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CDssYAAADbAAAADwAAAGRycy9kb3ducmV2LnhtbESPQWvCQBCF70L/wzIFb7qbHEpNXaUE&#10;BUsKReuhvY3ZaRKanY3ZVeO/dwtCj48373vz5svBtuJMvW8ca0imCgRx6UzDlYb953ryDMIHZIOt&#10;Y9JwJQ/LxcNojplxF97SeRcqESHsM9RQh9BlUvqyJot+6jri6P243mKIsq+k6fES4baVqVJP0mLD&#10;saHGjvKayt/dycY3ku/tqvt6P76p/UGpXB2Gj6LQevw4vL6ACDSE/+N7emM0pDP42xIB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wg7LGAAAA2wAAAA8AAAAAAAAA&#10;AAAAAAAAoQIAAGRycy9kb3ducmV2LnhtbFBLBQYAAAAABAAEAPkAAACUAwAAAAA=&#10;" strokecolor="#5a5a5a">
              <v:stroke dashstyle="dash"/>
            </v:shape>
            <v:shape id="AutoShape 200" o:spid="_x0000_s1151" type="#_x0000_t32" style="position:absolute;left:2602;top:2662;width:227;height:0;rotation:-30;flip:x;visibility:visible"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O88sUAAADbAAAADwAAAGRycy9kb3ducmV2LnhtbESPwWrCQBCG7wXfYRmht7prCyKpqxRR&#10;aLFQ1BzqbcyOSWh2Ns1uNb595yB4HP75v/lmtuh9o87UxTqwhfHIgCIugqu5tJDv109TUDEhO2wC&#10;k4UrRVjMBw8zzFy48JbOu1QqgXDM0EKVUptpHYuKPMZRaIklO4XOY5KxK7Xr8CJw3+hnYybaY81y&#10;ocKWlhUVP7s/Lxrjw3bVfn/+fpj8aMzSHPuvzcbax2H/9goqUZ/uy7f2u7PwIvbyiwBAz/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O88sUAAADbAAAADwAAAAAAAAAA&#10;AAAAAAChAgAAZHJzL2Rvd25yZXYueG1sUEsFBgAAAAAEAAQA+QAAAJMDAAAAAA==&#10;" strokecolor="#5a5a5a">
              <v:stroke dashstyle="dash"/>
            </v:shape>
            <v:shape id="AutoShape 201" o:spid="_x0000_s1152" type="#_x0000_t32" style="position:absolute;left:2513;top:2790;width:227;height:0;rotation:-30;flip:x;visibility:visible"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8ZacUAAADbAAAADwAAAGRycy9kb3ducmV2LnhtbESPT2sCMRDF74LfIUyhN022QpGtUUQs&#10;KBbEPwd7Gzfj7tLNZN2kun57IwgeH2/e780bTVpbiQs1vnSsIekrEMSZMyXnGva7794QhA/IBivH&#10;pOFGHibjbmeEqXFX3tBlG3IRIexT1FCEUKdS+qwgi77vauLonVxjMUTZ5NI0eI1wW8kPpT6lxZJj&#10;Q4E1zQrK/rb/Nr6R/G7m9eHnvFT7o1IzdWzXq5XW72/t9AtEoDa8jp/phdEwSOCxJQJAj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Z8ZacUAAADbAAAADwAAAAAAAAAA&#10;AAAAAAChAgAAZHJzL2Rvd25yZXYueG1sUEsFBgAAAAAEAAQA+QAAAJMDAAAAAA==&#10;" strokecolor="#5a5a5a">
              <v:stroke dashstyle="dash"/>
            </v:shape>
            <v:shape id="AutoShape 202" o:spid="_x0000_s1153" type="#_x0000_t32" style="position:absolute;left:2431;top:2913;width:227;height:0;rotation:-30;flip:x;visibility:visible"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ABisUAAADcAAAADwAAAGRycy9kb3ducmV2LnhtbESPT4vCMBDF74LfIYywN030IG41iojC&#10;ioL456C3sRnbYjPpNlntfvuNsOBthvd+b95MZo0txYNqXzjW0O8pEMSpMwVnGk7HVXcEwgdkg6Vj&#10;0vBLHmbTdmuCiXFP3tPjEDIRQ9gnqCEPoUqk9GlOFn3PVcRRu7naYohrnUlT4zOG21IOlBpKiwXH&#10;CzlWtMgpvR9+bKzRv+yX1Xn7vVanq1ILdW12m43WH51mPgYRqAlv8z/9ZSL3OYDXM3ECO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4ABisUAAADcAAAADwAAAAAAAAAA&#10;AAAAAAChAgAAZHJzL2Rvd25yZXYueG1sUEsFBgAAAAAEAAQA+QAAAJMDAAAAAA==&#10;" strokecolor="#5a5a5a">
              <v:stroke dashstyle="dash"/>
            </v:shape>
            <v:shape id="AutoShape 203" o:spid="_x0000_s1154" type="#_x0000_t32" style="position:absolute;left:2366;top:3053;width:170;height:0;rotation:-30;flip:x;visibility:visible"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ykEcYAAADcAAAADwAAAGRycy9kb3ducmV2LnhtbESPT2sCMRDF7wW/Qxiht5qoIHU1iogF&#10;RaH456C3cTPuLm4m202q67c3QqG3Gd77vXkznja2FDeqfeFYQ7ejQBCnzhScaTjsvz4+QfiAbLB0&#10;TBoe5GE6ab2NMTHuzlu67UImYgj7BDXkIVSJlD7NyaLvuIo4ahdXWwxxrTNparzHcFvKnlIDabHg&#10;eCHHiuY5pdfdr401uqftojpuflbqcFZqrs7N93qt9Xu7mY1ABGrCv/mPXprIDfvweiZOIC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MpBHGAAAA3AAAAA8AAAAAAAAA&#10;AAAAAAAAoQIAAGRycy9kb3ducmV2LnhtbFBLBQYAAAAABAAEAPkAAACUAwAAAAA=&#10;" strokecolor="#5a5a5a">
              <v:stroke dashstyle="dash"/>
            </v:shape>
            <v:shape id="AutoShape 204" o:spid="_x0000_s1155" type="#_x0000_t32" style="position:absolute;left:2284;top:3195;width:170;height:0;rotation:-30;flip:x;visibility:visible"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U8ZcYAAADcAAAADwAAAGRycy9kb3ducmV2LnhtbESPT2sCMRDF7wW/Qxiht5ooInU1iogF&#10;RaH456C3cTPuLm4m202q67c3QqG3Gd77vXkznja2FDeqfeFYQ7ejQBCnzhScaTjsvz4+QfiAbLB0&#10;TBoe5GE6ab2NMTHuzlu67UImYgj7BDXkIVSJlD7NyaLvuIo4ahdXWwxxrTNparzHcFvKnlIDabHg&#10;eCHHiuY5pdfdr401uqftojpuflbqcFZqrs7N93qt9Xu7mY1ABGrCv/mPXprIDfvweiZOIC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slPGXGAAAA3AAAAA8AAAAAAAAA&#10;AAAAAAAAoQIAAGRycy9kb3ducmV2LnhtbFBLBQYAAAAABAAEAPkAAACUAwAAAAA=&#10;" strokecolor="#5a5a5a">
              <v:stroke dashstyle="dash"/>
            </v:shape>
            <v:shape id="AutoShape 205" o:spid="_x0000_s1156" type="#_x0000_t32" style="position:absolute;left:2197;top:3323;width:170;height:0;rotation:-30;flip:x;visibility:visible"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mZ/sYAAADcAAAADwAAAGRycy9kb3ducmV2LnhtbESPT2sCMRDF7wW/Qxiht5ooKHU1iogF&#10;RaH456C3cTPuLm4m202q67c3QqG3Gd77vXkznja2FDeqfeFYQ7ejQBCnzhScaTjsvz4+QfiAbLB0&#10;TBoe5GE6ab2NMTHuzlu67UImYgj7BDXkIVSJlD7NyaLvuIo4ahdXWwxxrTNparzHcFvKnlIDabHg&#10;eCHHiuY5pdfdr401uqftojpuflbqcFZqrs7N93qt9Xu7mY1ABGrCv/mPXprIDfvweiZOIC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pmf7GAAAA3AAAAA8AAAAAAAAA&#10;AAAAAAAAoQIAAGRycy9kb3ducmV2LnhtbFBLBQYAAAAABAAEAPkAAACUAwAAAAA=&#10;" strokecolor="#5a5a5a">
              <v:stroke dashstyle="dash"/>
            </v:shape>
            <v:shape id="AutoShape 206" o:spid="_x0000_s1157" type="#_x0000_t32" style="position:absolute;left:2119;top:3446;width:170;height:0;rotation:-30;flip:x;visibility:visible"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sHicUAAADcAAAADwAAAGRycy9kb3ducmV2LnhtbESPT4vCMBDF7wt+hzDC3tZED+JWo4go&#10;KArin4PexmZsi82kNlntfvuNsOBthvd+b96MJo0txYNqXzjW0O0oEMSpMwVnGo6HxdcAhA/IBkvH&#10;pOGXPEzGrY8RJsY9eUePfchEDGGfoIY8hCqR0qc5WfQdVxFH7epqiyGudSZNjc8YbkvZU6ovLRYc&#10;L+RY0Syn9Lb/sbFG97ybV6fNfaWOF6Vm6tJs12utP9vNdAgiUBPe5n96aSL33YfXM3ECO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LsHicUAAADcAAAADwAAAAAAAAAA&#10;AAAAAAChAgAAZHJzL2Rvd25yZXYueG1sUEsFBgAAAAAEAAQA+QAAAJMDAAAAAA==&#10;" strokecolor="#5a5a5a">
              <v:stroke dashstyle="dash"/>
            </v:shape>
            <v:shape id="AutoShape 207" o:spid="_x0000_s1158" type="#_x0000_t32" style="position:absolute;left:2034;top:3572;width:170;height:0;rotation:-30;flip:x;visibility:visible"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iEsYAAADcAAAADwAAAGRycy9kb3ducmV2LnhtbESPT2sCMRDF7wW/Qxiht5roQetqFBEL&#10;ikLxz0Fv42bcXdxMtptU129vhEJvM7z3e/NmPG1sKW5U+8Kxhm5HgSBOnSk403DYf318gvAB2WDp&#10;mDQ8yMN00nobY2Lcnbd024VMxBD2CWrIQ6gSKX2ak0XfcRVx1C6uthjiWmfS1HiP4baUPaX60mLB&#10;8UKOFc1zSq+7XxtrdE/bRXXc/KzU4azUXJ2b7/Va6/d2MxuBCNSEf/MfvTSRGw7g9UycQE6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v3ohLGAAAA3AAAAA8AAAAAAAAA&#10;AAAAAAAAoQIAAGRycy9kb3ducmV2LnhtbFBLBQYAAAAABAAEAPkAAACUAwAAAAA=&#10;" strokecolor="#5a5a5a">
              <v:stroke dashstyle="dash"/>
            </v:shape>
            <v:shape id="AutoShape 208" o:spid="_x0000_s1159" type="#_x0000_t32" style="position:absolute;left:1952;top:3683;width:190;height:0;rotation:-30;flip:x;visibility:visible"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g2YMYAAADcAAAADwAAAGRycy9kb3ducmV2LnhtbESPQWvCQBCF7wX/wzJCb3XXHoqmrlJE&#10;ocVCUXOotzE7JqHZ2TS71fjvOwfB2zzmfW/ezBa9b9SZulgHtjAeGVDERXA1lxby/fppAiomZIdN&#10;YLJwpQiL+eBhhpkLF97SeZdKJSEcM7RQpdRmWseiIo9xFFpi2Z1C5zGJ7ErtOrxIuG/0szEv2mPN&#10;cqHClpYVFT+7Py81xoftqv3+/P0w+dGYpTn2X5uNtY/D/u0VVKI+3c03+t0JN5W28oxMoO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oNmDGAAAA3AAAAA8AAAAAAAAA&#10;AAAAAAAAoQIAAGRycy9kb3ducmV2LnhtbFBLBQYAAAAABAAEAPkAAACUAwAAAAA=&#10;" strokecolor="#5a5a5a">
              <v:stroke dashstyle="dash"/>
            </v:shape>
            <v:shape id="AutoShape 209" o:spid="_x0000_s1160" type="#_x0000_t32" style="position:absolute;left:3716;top:3776;width:433;height:0;rotation:-60;flip:x;visibility:visible"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32GsUAAADcAAAADwAAAGRycy9kb3ducmV2LnhtbERPTWvCQBC9C/6HZQpepNnooWiaVYoi&#10;2EIPmlLpbchOk7TZ2SW7auyvdwuCt3m8z8mXvWnFiTrfWFYwSVIQxKXVDVcKPorN4wyED8gaW8uk&#10;4EIelovhIMdM2zPv6LQPlYgh7DNUUIfgMil9WZNBn1hHHLlv2xkMEXaV1B2eY7hp5TRNn6TBhmND&#10;jY5WNZW/+6NR8Hb4Kn6q7W7199kXl/f1xrnx4VWp0UP/8gwiUB/u4pt7q+P8+Rz+n4kX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T32GsUAAADcAAAADwAAAAAAAAAA&#10;AAAAAAChAgAAZHJzL2Rvd25yZXYueG1sUEsFBgAAAAAEAAQA+QAAAJMDAAAAAA==&#10;" strokecolor="#5a5a5a">
              <v:stroke dashstyle="dash"/>
            </v:shape>
            <v:shape id="AutoShape 210" o:spid="_x0000_s1161" type="#_x0000_t32" style="position:absolute;left:3583;top:3799;width:340;height:0;rotation:-60;flip:x;visibility:visible"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irfMUAAADcAAAADwAAAGRycy9kb3ducmV2LnhtbESPQWsCMRSE70L/Q3gFL6LZepCyNYpY&#10;BBU86ErF22Pz3F3dvIRN1NVf3xQKHoeZ+YYZT1tTixs1vrKs4GOQgCDOra64ULDPFv1PED4ga6wt&#10;k4IHeZhO3jpjTLW985Zuu1CICGGfooIyBJdK6fOSDPqBdcTRO9nGYIiyKaRu8B7hppbDJBlJgxXH&#10;hRIdzUvKL7urUbA+HLNzsdzOnz9t9th8L5zrHVZKdd/b2ReIQG14hf/bS60gEuHvTDwCcvI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yirfMUAAADcAAAADwAAAAAAAAAA&#10;AAAAAAChAgAAZHJzL2Rvd25yZXYueG1sUEsFBgAAAAAEAAQA+QAAAJMDAAAAAA==&#10;" strokecolor="#5a5a5a">
              <v:stroke dashstyle="dash"/>
            </v:shape>
            <v:shape id="AutoShape 211" o:spid="_x0000_s1162" type="#_x0000_t32" style="position:absolute;left:3405;top:3810;width:340;height:0;rotation:-60;flip:x;visibility:visible"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QO58cAAADcAAAADwAAAGRycy9kb3ducmV2LnhtbESPQWvCQBSE70L/w/IKvYjZ6EEkdSPF&#10;IthCDxqpeHtkX5O02bdLdhujv75bEDwOM/MNs1wNphU9db6xrGCapCCIS6sbrhQcis1kAcIHZI2t&#10;ZVJwIQ+r/GG0xEzbM++o34dKRAj7DBXUIbhMSl/WZNAn1hFH78t2BkOUXSV1h+cIN62cpelcGmw4&#10;LtToaF1T+bP/NQrej6fiu9ru1tfPobh8vG6cGx/flHp6HF6eQQQawj18a2+1glk6hf8z8QjI/A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8ZA7nxwAAANwAAAAPAAAAAAAA&#10;AAAAAAAAAKECAABkcnMvZG93bnJldi54bWxQSwUGAAAAAAQABAD5AAAAlQMAAAAA&#10;" strokecolor="#5a5a5a">
              <v:stroke dashstyle="dash"/>
            </v:shape>
            <v:shape id="AutoShape 212" o:spid="_x0000_s1163" type="#_x0000_t32" style="position:absolute;left:3245;top:3829;width:283;height:0;rotation:-60;flip:x;visibility:visible"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aQkMcAAADcAAAADwAAAGRycy9kb3ducmV2LnhtbESPQWvCQBSE7wX/w/IEL6VumkMpqasU&#10;RVDBg0YUb4/sM0nNvl2yW4399a5Q8DjMzDfMaNKZRlyo9bVlBe/DBARxYXXNpYJdPn/7BOEDssbG&#10;Mim4kYfJuPcywkzbK2/osg2liBD2GSqoQnCZlL6oyKAfWkccvZNtDYYo21LqFq8RbhqZJsmHNFhz&#10;XKjQ0bSi4rz9NQpWh2P+Uy420799l9/Ws7lzr4elUoN+9/0FIlAXnuH/9kIrSJMUHmfiEZDj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tpCQxwAAANwAAAAPAAAAAAAA&#10;AAAAAAAAAKECAABkcnMvZG93bnJldi54bWxQSwUGAAAAAAQABAD5AAAAlQMAAAAA&#10;" strokecolor="#5a5a5a">
              <v:stroke dashstyle="dash"/>
            </v:shape>
            <v:shape id="AutoShape 213" o:spid="_x0000_s1164" type="#_x0000_t32" style="position:absolute;left:3087;top:3843;width:283;height:0;rotation:-60;flip:x;visibility:visible"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1C8cAAADcAAAADwAAAGRycy9kb3ducmV2LnhtbESPQWvCQBSE7wX/w/KEXoputCASXUOJ&#10;CLbQg0YUb4/sa5I2+3bJbjX217uFQo/DzHzDLLPetOJCnW8sK5iMExDEpdUNVwoOxWY0B+EDssbW&#10;Mim4kYdsNXhYYqrtlXd02YdKRAj7FBXUIbhUSl/WZNCPrSOO3oftDIYou0rqDq8Rblo5TZKZNNhw&#10;XKjRUV5T+bX/NgreTufis9ru8p9jX9ze1xvnnk6vSj0O+5cFiEB9+A//tbdawTR5ht8z8QjI1R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jULxwAAANwAAAAPAAAAAAAA&#10;AAAAAAAAAKECAABkcnMvZG93bnJldi54bWxQSwUGAAAAAAQABAD5AAAAlQMAAAAA&#10;" strokecolor="#5a5a5a">
              <v:stroke dashstyle="dash"/>
            </v:shape>
            <v:shape id="AutoShape 214" o:spid="_x0000_s1165" type="#_x0000_t32" style="position:absolute;left:2929;top:3844;width:283;height:0;rotation:-60;flip:x;visibility:visible"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Otf8cAAADcAAAADwAAAGRycy9kb3ducmV2LnhtbESPQWvCQBSE7wX/w/KEXopulCISXUOJ&#10;CLbQg0YUb4/sa5I2+3bJbjX217uFQo/DzHzDLLPetOJCnW8sK5iMExDEpdUNVwoOxWY0B+EDssbW&#10;Mim4kYdsNXhYYqrtlXd02YdKRAj7FBXUIbhUSl/WZNCPrSOO3oftDIYou0rqDq8Rblo5TZKZNNhw&#10;XKjRUV5T+bX/NgreTufis9ru8p9jX9ze1xvnnk6vSj0O+5cFiEB9+A//tbdawTR5ht8z8QjI1R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E61/xwAAANwAAAAPAAAAAAAA&#10;AAAAAAAAAKECAABkcnMvZG93bnJldi54bWxQSwUGAAAAAAQABAD5AAAAlQMAAAAA&#10;" strokecolor="#5a5a5a">
              <v:stroke dashstyle="dash"/>
            </v:shape>
            <v:shape id="AutoShape 215" o:spid="_x0000_s1166" type="#_x0000_t32" style="position:absolute;left:2770;top:3843;width:283;height:0;rotation:-60;flip:x;visibility:visible"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8I5McAAADcAAAADwAAAGRycy9kb3ducmV2LnhtbESPQWvCQBSE7wX/w/KEXopuFCoSXUOJ&#10;CLbQg0YUb4/sa5I2+3bJbjX217uFQo/DzHzDLLPetOJCnW8sK5iMExDEpdUNVwoOxWY0B+EDssbW&#10;Mim4kYdsNXhYYqrtlXd02YdKRAj7FBXUIbhUSl/WZNCPrSOO3oftDIYou0rqDq8Rblo5TZKZNNhw&#10;XKjRUV5T+bX/NgreTufis9ru8p9jX9ze1xvnnk6vSj0O+5cFiEB9+A//tbdawTR5ht8z8QjI1R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XwjkxwAAANwAAAAPAAAAAAAA&#10;AAAAAAAAAKECAABkcnMvZG93bnJldi54bWxQSwUGAAAAAAQABAD5AAAAlQMAAAAA&#10;" strokecolor="#5a5a5a">
              <v:stroke dashstyle="dash"/>
            </v:shape>
            <v:shape id="AutoShape 216" o:spid="_x0000_s1167" type="#_x0000_t32" style="position:absolute;left:2615;top:3848;width:283;height:0;rotation:-60;flip:x;visibility:visible"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2Wk8cAAADcAAAADwAAAGRycy9kb3ducmV2LnhtbESPQWvCQBSE7wX/w/KEXorZ6EFKdCOi&#10;CLbQg6Yo3h7ZZxLNvl2yW4399d1CocdhZr5h5ovetOJGnW8sKxgnKQji0uqGKwWfxWb0CsIHZI2t&#10;ZVLwIA+LfPA0x0zbO+/otg+ViBD2GSqoQ3CZlL6syaBPrCOO3tl2BkOUXSV1h/cIN62cpOlUGmw4&#10;LtToaFVTed1/GQXvx1Nxqba71fehLx4f641zL8c3pZ6H/XIGIlAf/sN/7a1WMEmn8HsmHgGZ/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jZaTxwAAANwAAAAPAAAAAAAA&#10;AAAAAAAAAKECAABkcnMvZG93bnJldi54bWxQSwUGAAAAAAQABAD5AAAAlQMAAAAA&#10;" strokecolor="#5a5a5a">
              <v:stroke dashstyle="dash"/>
            </v:shape>
            <v:shape id="AutoShape 217" o:spid="_x0000_s1168" type="#_x0000_t32" style="position:absolute;left:2446;top:3832;width:283;height:0;rotation:-60;flip:x;visibility:visible"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EzCMgAAADcAAAADwAAAGRycy9kb3ducmV2LnhtbESPQWvCQBSE7wX/w/KEXopu9FAluoYS&#10;EWyhB40o3h7Z1yRt9u2S3Wrsr3cLhR6HmfmGWWa9acWFOt9YVjAZJyCIS6sbrhQcis1oDsIHZI2t&#10;ZVJwIw/ZavCwxFTbK+/osg+ViBD2KSqoQ3CplL6syaAfW0ccvQ/bGQxRdpXUHV4j3LRymiTP0mDD&#10;caFGR3lN5df+2yh4O52Lz2q7y3+OfXF7X2+cezq9KvU47F8WIAL14T/8195qBdNkBr9n4hGQqz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MEzCMgAAADcAAAADwAAAAAA&#10;AAAAAAAAAAChAgAAZHJzL2Rvd25yZXYueG1sUEsFBgAAAAAEAAQA+QAAAJYDAAAAAA==&#10;" strokecolor="#5a5a5a">
              <v:stroke dashstyle="dash"/>
            </v:shape>
            <v:shape id="AutoShape 218" o:spid="_x0000_s1169" type="#_x0000_t32" style="position:absolute;left:2288;top:3827;width:288;height:0;rotation:-60;flip:x;visibility:visible"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6nesMAAADcAAAADwAAAGRycy9kb3ducmV2LnhtbERPTYvCMBC9C/sfwizsRTRdDyLVKIuL&#10;oAsetKJ4G5qxrdtMQhO1+uvNQfD4eN+TWWtqcaXGV5YVfPcTEMS51RUXCnbZojcC4QOyxtoyKbiT&#10;h9n0ozPBVNsbb+i6DYWIIexTVFCG4FIpfV6SQd+3jjhyJ9sYDBE2hdQN3mK4qeUgSYbSYMWxoURH&#10;85Ly/+3FKPg7HLNzsdzMH/s2u69/F851Dyulvj7bnzGIQG14i1/upVYwSOLaeCYeATl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1ep3rDAAAA3AAAAA8AAAAAAAAAAAAA&#10;AAAAoQIAAGRycy9kb3ducmV2LnhtbFBLBQYAAAAABAAEAPkAAACRAwAAAAA=&#10;" strokecolor="#5a5a5a">
              <v:stroke dashstyle="dash"/>
            </v:shape>
            <v:shape id="AutoShape 219" o:spid="_x0000_s1170" type="#_x0000_t32" style="position:absolute;left:2143;top:3839;width:289;height:0;rotation:-60;flip:x;visibility:visible"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IC4cgAAADcAAAADwAAAGRycy9kb3ducmV2LnhtbESPQWvCQBSE7wX/w/KEXopu9FA0uoYS&#10;EWyhB40o3h7Z1yRt9u2S3Wrsr3cLhR6HmfmGWWa9acWFOt9YVjAZJyCIS6sbrhQcis1oBsIHZI2t&#10;ZVJwIw/ZavCwxFTbK+/osg+ViBD2KSqoQ3CplL6syaAfW0ccvQ/bGQxRdpXUHV4j3LRymiTP0mDD&#10;caFGR3lN5df+2yh4O52Lz2q7y3+OfXF7X2+cezq9KvU47F8WIAL14T/8195qBdNkDr9n4hGQqz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hIC4cgAAADcAAAADwAAAAAA&#10;AAAAAAAAAAChAgAAZHJzL2Rvd25yZXYueG1sUEsFBgAAAAAEAAQA+QAAAJYDAAAAAA==&#10;" strokecolor="#5a5a5a">
              <v:stroke dashstyle="dash"/>
            </v:shape>
            <v:shape id="AutoShape 220" o:spid="_x0000_s1171" type="#_x0000_t32" style="position:absolute;left:2045;top:3871;width:193;height:0;rotation:-60;flip:x;visibility:visible"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E9ocUAAADcAAAADwAAAGRycy9kb3ducmV2LnhtbERPz2vCMBS+D/wfwhN2GZq2hzGqUYYi&#10;uMEOWlF2ezRvbWfzEpqsrfvrl8PA48f3e7keTSt66nxjWUE6T0AQl1Y3XCk4FbvZCwgfkDW2lknB&#10;jTysV5OHJebaDnyg/hgqEUPY56igDsHlUvqyJoN+bh1x5L5sZzBE2FVSdzjEcNPKLEmepcGGY0ON&#10;jjY1ldfjj1Hwfvksvqv9YfN7Hovbx3bn3NPlTanH6fi6ABFoDHfxv3uvFWRpnB/PxCM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E9ocUAAADcAAAADwAAAAAAAAAA&#10;AAAAAAChAgAAZHJzL2Rvd25yZXYueG1sUEsFBgAAAAAEAAQA+QAAAJMDAAAAAA==&#10;" strokecolor="#5a5a5a">
              <v:stroke dashstyle="dash"/>
            </v:shape>
            <v:shape id="AutoShape 221" o:spid="_x0000_s1172" type="#_x0000_t32" style="position:absolute;left:3960;top:3823;width:289;height:0;rotation:-60;flip:x;visibility:visible"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2YOscAAADcAAAADwAAAGRycy9kb3ducmV2LnhtbESPQWvCQBSE70L/w/IKXkQ38VBKdBWx&#10;CFroQVMUb4/sM4lm3y7Zrcb+elco9DjMzDfMdN6ZRlyp9bVlBekoAUFcWF1zqeA7Xw3fQfiArLGx&#10;TAru5GE+e+lNMdP2xlu67kIpIoR9hgqqEFwmpS8qMuhH1hFH72RbgyHKtpS6xVuEm0aOk+RNGqw5&#10;LlToaFlRcdn9GAWfh2N+Ltfb5e++y+9fHyvnBoeNUv3XbjEBEagL/+G/9lorGKcpPM/EIyBn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vZg6xwAAANwAAAAPAAAAAAAA&#10;AAAAAAAAAKECAABkcnMvZG93bnJldi54bWxQSwUGAAAAAAQABAD5AAAAlQMAAAAA&#10;" strokecolor="#5a5a5a">
              <v:stroke dashstyle="dash"/>
            </v:shape>
            <v:shape id="_x0000_s1173" type="#_x0000_t202" style="position:absolute;left:3160;top:1632;width:151;height:258;visibility:visible" o:regroupid="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ydosQA&#10;AADcAAAADwAAAGRycy9kb3ducmV2LnhtbESPQWvCQBSE7wX/w/IEb3VjDtJGVxFREARpjAePz+wz&#10;Wcy+jdlV03/fLRR6HGbmG2a+7G0jntR541jBZJyAIC6dNlwpOBXb9w8QPiBrbByTgm/ysFwM3uaY&#10;affinJ7HUIkIYZ+hgjqENpPSlzVZ9GPXEkfv6jqLIcqukrrDV4TbRqZJMpUWDceFGlta11Tejg+r&#10;YHXmfGPuh8tXfs1NUXwmvJ/elBoN+9UMRKA+/If/2jutIJ2k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8naLEAAAA3AAAAA8AAAAAAAAAAAAAAAAAmAIAAGRycy9k&#10;b3ducmV2LnhtbFBLBQYAAAAABAAEAPUAAACJAwAAAAA=&#10;" filled="f" stroked="f">
              <v:textbox style="mso-next-textbox:#Надпись 2" inset="0,0,0,0">
                <w:txbxContent>
                  <w:p w:rsidR="00FD7444" w:rsidRPr="00FD7444" w:rsidRDefault="00FD7444" w:rsidP="00FD7444">
                    <w:pPr>
                      <w:spacing w:before="40" w:after="120"/>
                      <w:rPr>
                        <w:rFonts w:ascii="Times New Roman" w:hAnsi="Times New Roman" w:cs="Times New Roman"/>
                        <w:b/>
                        <w:sz w:val="18"/>
                        <w:szCs w:val="18"/>
                        <w:lang w:val="az-Latn-AZ"/>
                      </w:rPr>
                    </w:pPr>
                    <w:r w:rsidRPr="00FD7444">
                      <w:rPr>
                        <w:rFonts w:ascii="Times New Roman" w:hAnsi="Times New Roman" w:cs="Times New Roman"/>
                        <w:b/>
                        <w:sz w:val="18"/>
                        <w:szCs w:val="18"/>
                        <w:lang w:val="az-Latn-AZ"/>
                      </w:rPr>
                      <w:t>11</w:t>
                    </w:r>
                  </w:p>
                </w:txbxContent>
              </v:textbox>
            </v:shape>
            <v:line id="Прямая соединительная линия 65" o:spid="_x0000_s1174" style="position:absolute;visibility:visible" from="3129,1754" to="3129,3198"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8tZ8YAAADcAAAADwAAAGRycy9kb3ducmV2LnhtbESPQWvCQBSE7wX/w/IKXkrdJKLW6Cqi&#10;CF6kNHpob4/sMwnNvg3Z1cR/7wqFHoeZ+YZZrntTixu1rrKsIB5FIIhzqysuFJxP+/cPEM4ja6wt&#10;k4I7OVivBi9LTLXt+ItumS9EgLBLUUHpfZNK6fKSDLqRbYiDd7GtQR9kW0jdYhfgppZJFE2lwYrD&#10;QokNbUvKf7OrUbA7T7tsXkxmb/H42M/5M/n+ORqlhq/9ZgHCU+//w3/tg1aQxGN4nglHQK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vLWfGAAAA3AAAAA8AAAAAAAAA&#10;AAAAAAAAoQIAAGRycy9kb3ducmV2LnhtbFBLBQYAAAAABAAEAPkAAACUAwAAAAA=&#10;" strokeweight="1pt"/>
            <v:shape id="_x0000_s1175" type="#_x0000_t202" style="position:absolute;left:3178;top:2326;width:377;height:258;visibility:visible" o:regroupid="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gTcQA&#10;AADcAAAADwAAAGRycy9kb3ducmV2LnhtbESPQWvCQBSE74L/YXmCN90oIh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ZoE3EAAAA3AAAAA8AAAAAAAAAAAAAAAAAmAIAAGRycy9k&#10;b3ducmV2LnhtbFBLBQYAAAAABAAEAPUAAACJAwAAAAA=&#10;" filled="f" stroked="f">
              <v:textbox style="mso-next-textbox:#_x0000_s1175" inset="0,0,0,0">
                <w:txbxContent>
                  <w:p w:rsidR="00FD7444" w:rsidRPr="00FD7444" w:rsidRDefault="007A328E" w:rsidP="00FD7444">
                    <w:pPr>
                      <w:spacing w:before="40" w:after="120"/>
                      <w:rPr>
                        <w:rFonts w:ascii="Times New Roman" w:hAnsi="Times New Roman" w:cs="Times New Roman"/>
                        <w:b/>
                        <w:sz w:val="18"/>
                        <w:szCs w:val="18"/>
                        <w:lang w:val="az-Latn-AZ"/>
                      </w:rPr>
                    </w:pPr>
                    <w:r>
                      <w:rPr>
                        <w:rFonts w:ascii="Times New Roman" w:hAnsi="Times New Roman" w:cs="Times New Roman"/>
                        <w:b/>
                        <w:sz w:val="18"/>
                        <w:szCs w:val="18"/>
                        <w:lang w:val="az-Latn-AZ"/>
                      </w:rPr>
                      <w:t>0</w:t>
                    </w:r>
                    <w:r>
                      <w:rPr>
                        <w:rFonts w:ascii="Times New Roman" w:hAnsi="Times New Roman" w:cs="Times New Roman"/>
                        <w:b/>
                        <w:sz w:val="18"/>
                        <w:szCs w:val="18"/>
                        <w:lang w:val="ru-RU"/>
                      </w:rPr>
                      <w:t>.68</w:t>
                    </w:r>
                  </w:p>
                </w:txbxContent>
              </v:textbox>
            </v:shape>
            <v:shape id="_x0000_s1176" type="#_x0000_t202" style="position:absolute;left:3658;top:3643;width:406;height:244;visibility:visible" o:regroupid="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F1sQA&#10;AADcAAAADwAAAGRycy9kb3ducmV2LnhtbESPQWvCQBSE74L/YXmCN90oKB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VBdbEAAAA3AAAAA8AAAAAAAAAAAAAAAAAmAIAAGRycy9k&#10;b3ducmV2LnhtbFBLBQYAAAAABAAEAPUAAACJAwAAAAA=&#10;" filled="f" stroked="f">
              <v:textbox style="mso-next-textbox:#_x0000_s1176" inset="0,0,0,0">
                <w:txbxContent>
                  <w:p w:rsidR="00FD7444" w:rsidRPr="007A328E" w:rsidRDefault="007A328E" w:rsidP="00FD7444">
                    <w:pPr>
                      <w:spacing w:before="40" w:after="120"/>
                      <w:rPr>
                        <w:rFonts w:ascii="Times New Roman" w:hAnsi="Times New Roman" w:cs="Times New Roman"/>
                        <w:b/>
                        <w:sz w:val="18"/>
                        <w:szCs w:val="18"/>
                        <w:lang w:val="ru-RU"/>
                      </w:rPr>
                    </w:pPr>
                    <w:r>
                      <w:rPr>
                        <w:rFonts w:ascii="Times New Roman" w:hAnsi="Times New Roman" w:cs="Times New Roman"/>
                        <w:b/>
                        <w:sz w:val="18"/>
                        <w:szCs w:val="18"/>
                        <w:lang w:val="az-Latn-AZ"/>
                      </w:rPr>
                      <w:t>0</w:t>
                    </w:r>
                    <w:r>
                      <w:rPr>
                        <w:rFonts w:ascii="Times New Roman" w:hAnsi="Times New Roman" w:cs="Times New Roman"/>
                        <w:b/>
                        <w:sz w:val="18"/>
                        <w:szCs w:val="18"/>
                        <w:lang w:val="ru-RU"/>
                      </w:rPr>
                      <w:t>.62</w:t>
                    </w:r>
                  </w:p>
                </w:txbxContent>
              </v:textbox>
            </v:shape>
            <v:shape id="_x0000_s1177" type="#_x0000_t202" style="position:absolute;left:2143;top:3738;width:418;height:282;visibility:visible" o:regroupid="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ebocQA&#10;AADcAAAADwAAAGRycy9kb3ducmV2LnhtbESPQWvCQBSE7wX/w/IEb3Wjh9BGVxFREARpjAePz+wz&#10;Wcy+jdlV03/fLRR6HGbmG2a+7G0jntR541jBZJyAIC6dNlwpOBXb9w8QPiBrbByTgm/ysFwM3uaY&#10;affinJ7HUIkIYZ+hgjqENpPSlzVZ9GPXEkfv6jqLIcqukrrDV4TbRk6TJJUWDceFGlta11Tejg+r&#10;YHXmfGPuh8tXfs1NUXwmvE9vSo2G/WoGIlAf/sN/7Z1WMJ2k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m6HEAAAA3AAAAA8AAAAAAAAAAAAAAAAAmAIAAGRycy9k&#10;b3ducmV2LnhtbFBLBQYAAAAABAAEAPUAAACJAwAAAAA=&#10;" filled="f" stroked="f">
              <v:textbox style="mso-next-textbox:#_x0000_s1177" inset="0,0,0,0">
                <w:txbxContent>
                  <w:p w:rsidR="00FD7444" w:rsidRPr="00FD7444" w:rsidRDefault="007A328E" w:rsidP="00FD7444">
                    <w:pPr>
                      <w:spacing w:before="40" w:after="120"/>
                      <w:rPr>
                        <w:rFonts w:ascii="Times New Roman" w:hAnsi="Times New Roman" w:cs="Times New Roman"/>
                        <w:b/>
                        <w:sz w:val="18"/>
                        <w:szCs w:val="18"/>
                        <w:lang w:val="az-Latn-AZ"/>
                      </w:rPr>
                    </w:pPr>
                    <w:r>
                      <w:rPr>
                        <w:rFonts w:ascii="Times New Roman" w:hAnsi="Times New Roman" w:cs="Times New Roman"/>
                        <w:b/>
                        <w:sz w:val="18"/>
                        <w:szCs w:val="18"/>
                        <w:lang w:val="az-Latn-AZ"/>
                      </w:rPr>
                      <w:t>0</w:t>
                    </w:r>
                    <w:r>
                      <w:rPr>
                        <w:rFonts w:ascii="Times New Roman" w:hAnsi="Times New Roman" w:cs="Times New Roman"/>
                        <w:b/>
                        <w:sz w:val="18"/>
                        <w:szCs w:val="18"/>
                        <w:lang w:val="ru-RU"/>
                      </w:rPr>
                      <w:t>.</w:t>
                    </w:r>
                    <w:r w:rsidR="00FD7444" w:rsidRPr="00FD7444">
                      <w:rPr>
                        <w:rFonts w:ascii="Times New Roman" w:hAnsi="Times New Roman" w:cs="Times New Roman"/>
                        <w:b/>
                        <w:sz w:val="18"/>
                        <w:szCs w:val="18"/>
                        <w:lang w:val="az-Latn-AZ"/>
                      </w:rPr>
                      <w:t>8</w:t>
                    </w:r>
                  </w:p>
                </w:txbxContent>
              </v:textbox>
            </v:shape>
            <v:line id="Прямая соединительная линия 14" o:spid="_x0000_s1178" style="position:absolute;visibility:visible" from="3129,3189" to="4466,3956"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QrZMcAAADcAAAADwAAAGRycy9kb3ducmV2LnhtbESPQWvCQBSE74L/YXlCL8VskqLWmFXE&#10;UuhFSqOH9vbIvibB7NuQ3Zr033eFgsdhZr5h8t1oWnGl3jWWFSRRDIK4tLrhSsH59Dp/BuE8ssbW&#10;Min4JQe77XSSY6btwB90LXwlAoRdhgpq77tMSlfWZNBFtiMO3rftDfog+0rqHocAN61M43gpDTYc&#10;Fmrs6FBTeSl+jIKX83Io1tVi9Zg8Hcc1v6efX0ej1MNs3G9AeBr9PfzfftMK0mQFtzPhCMjt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lCtkxwAAANwAAAAPAAAAAAAA&#10;AAAAAAAAAKECAABkcnMvZG93bnJldi54bWxQSwUGAAAAAAQABAD5AAAAlQMAAAAA&#10;" strokeweight="1pt"/>
            <v:line id="Прямая соединительная линия 15" o:spid="_x0000_s1179" style="position:absolute;flip:x;visibility:visible" from="1764,3181" to="3123,3959"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JL2sIAAADcAAAADwAAAGRycy9kb3ducmV2LnhtbERPy4rCMBTdC/MP4Q6401Rh1KlNZRCE&#10;QVSwupndpbl9YHPTaaLWvzcLweXhvJNVbxpxo87VlhVMxhEI4tzqmksF59NmtADhPLLGxjIpeJCD&#10;VfoxSDDW9s5HumW+FCGEXYwKKu/bWEqXV2TQjW1LHLjCdgZ9gF0pdYf3EG4aOY2imTRYc2iosKV1&#10;RfkluxoF29N3sd5t94eH+/87UDGPjl/ZWanhZ/+zBOGp92/xy/2rFUwnYW04E46AT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vJL2sIAAADcAAAADwAAAAAAAAAAAAAA&#10;AAChAgAAZHJzL2Rvd25yZXYueG1sUEsFBgAAAAAEAAQA+QAAAJADAAAAAA==&#10;" strokeweight="1pt"/>
            <v:line id="Прямая соединительная линия 79" o:spid="_x0000_s1180" style="position:absolute;visibility:visible" from="3134,2223" to="3895,3627"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F5rcIAAADcAAAADwAAAGRycy9kb3ducmV2LnhtbERPy4rCMBTdD8w/hDvgRjS14qsaZXAQ&#10;3IhYXeju0lzbMs1NaTK2/r1ZCLM8nPdq05lKPKhxpWUFo2EEgjizuuRcweW8G8xBOI+ssbJMCp7k&#10;YLP+/Fhhom3LJ3qkPhchhF2CCgrv60RKlxVk0A1tTRy4u20M+gCbXOoG2xBuKhlH0VQaLDk0FFjT&#10;tqDsN/0zCn4u0zZd5JNZfzQ+dAs+xtfbwSjV++q+lyA8df5f/HbvtYI4DvPDmXAE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xF5rcIAAADcAAAADwAAAAAAAAAAAAAA&#10;AAChAgAAZHJzL2Rvd25yZXYueG1sUEsFBgAAAAAEAAQA+QAAAJADAAAAAA==&#10;" strokeweight="1pt"/>
            <v:line id="Прямая соединительная линия 81" o:spid="_x0000_s1181" style="position:absolute;flip:x;visibility:visible" from="2126,2223" to="3128,3748"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Qo+sUAAADcAAAADwAAAGRycy9kb3ducmV2LnhtbESPS4vCQBCE78L+h6EXvOnEwPqIjrII&#10;C4uoYPTircl0HpjpyWZmNf57RxA8FlX1FbVYdaYWV2pdZVnBaBiBIM6srrhQcDr+DKYgnEfWWFsm&#10;BXdysFp+9BaYaHvjA11TX4gAYZeggtL7JpHSZSUZdEPbEAcvt61BH2RbSN3iLcBNLeMoGkuDFYeF&#10;Ehtal5Rd0n+jYHOc5evtZre/u7/znvJJdPhKT0r1P7vvOQhPnX+HX+1frSCOR/A8E46AX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aQo+sUAAADcAAAADwAAAAAAAAAA&#10;AAAAAAChAgAAZHJzL2Rvd25yZXYueG1sUEsFBgAAAAAEAAQA+QAAAJMDAAAAAA==&#10;" strokeweight="1pt"/>
            <v:shape id="AutoShape 74" o:spid="_x0000_s1182" type="#_x0000_t32" style="position:absolute;left:2131;top:3632;width:1783;height:122;flip:x;visibility:visible"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UPV8IAAADcAAAADwAAAGRycy9kb3ducmV2LnhtbESPQYvCMBSE7wv+h/AEL6KpXVakGkUE&#10;wZOwdWE9PppnW2xeahPb+u+NIHgcZuYbZrXpTSVaalxpWcFsGoEgzqwuOVfwd9pPFiCcR9ZYWSYF&#10;D3KwWQ++Vpho2/EvtanPRYCwS1BB4X2dSOmyggy6qa2Jg3exjUEfZJNL3WAX4KaScRTNpcGSw0KB&#10;Ne0Kyq7p3Sg4/oznbetvY4fHM3bpP8uu+lZqNOy3SxCeev8Jv9sHrSCOY3idCUdAr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XUPV8IAAADcAAAADwAAAAAAAAAAAAAA&#10;AAChAgAAZHJzL2Rvd25yZXYueG1sUEsFBgAAAAAEAAQA+QAAAJADAAAAAA==&#10;" strokeweight="1pt"/>
            <v:shape id="AutoShape 194" o:spid="_x0000_s1185" type="#_x0000_t32" style="position:absolute;left:4194;top:3754;width:113;height:0;rotation:3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UacMAAADbAAAADwAAAGRycy9kb3ducmV2LnhtbESPT4vCMBTE78J+h/AW9iKa+oeudI2y&#10;SBfEm+6u50fzTIvNS2mird/eCILHYWZ+wyzXva3FlVpfOVYwGScgiAunKzYK/n5/RgsQPiBrrB2T&#10;ght5WK/eBkvMtOt4T9dDMCJC2GeooAyhyaT0RUkW/dg1xNE7udZiiLI1UrfYRbit5TRJUmmx4rhQ&#10;YkObkorz4WIVfM7y+fAs837oTd4dq11qNv+pUh/v/fcXiEB9eIWf7a1WMJ3B40v8A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flGnDAAAA2wAAAA8AAAAAAAAAAAAA&#10;AAAAoQIAAGRycy9kb3ducmV2LnhtbFBLBQYAAAAABAAEAPkAAACRAwAAAAA=&#10;" strokecolor="#5a5a5a">
              <v:stroke dashstyle="dash"/>
            </v:shape>
            <v:shape id="AutoShape 221" o:spid="_x0000_s1186" type="#_x0000_t32" style="position:absolute;left:4153;top:3877;width:170;height:0;rotation:-6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2YOscAAADcAAAADwAAAGRycy9kb3ducmV2LnhtbESPQWvCQBSE70L/w/IKXkQ38VBKdBWx&#10;CFroQVMUb4/sM4lm3y7Zrcb+elco9DjMzDfMdN6ZRlyp9bVlBekoAUFcWF1zqeA7Xw3fQfiArLGx&#10;TAru5GE+e+lNMdP2xlu67kIpIoR9hgqqEFwmpS8qMuhH1hFH72RbgyHKtpS6xVuEm0aOk+RNGqw5&#10;LlToaFlRcdn9GAWfh2N+Ltfb5e++y+9fHyvnBoeNUv3XbjEBEagL/+G/9lorGKcpPM/EIyBn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vZg6xwAAANwAAAAPAAAAAAAA&#10;AAAAAAAAAKECAABkcnMvZG93bnJldi54bWxQSwUGAAAAAAQABAD5AAAAlQMAAAAA&#10;" strokecolor="#5a5a5a">
              <v:stroke dashstyle="dash"/>
            </v:shape>
            <v:shape id="AutoShape 208" o:spid="_x0000_s1187" type="#_x0000_t32" style="position:absolute;left:1904;top:3768;width:113;height:0;rotation:-3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g2YMYAAADcAAAADwAAAGRycy9kb3ducmV2LnhtbESPQWvCQBCF7wX/wzJCb3XXHoqmrlJE&#10;ocVCUXOotzE7JqHZ2TS71fjvOwfB2zzmfW/ezBa9b9SZulgHtjAeGVDERXA1lxby/fppAiomZIdN&#10;YLJwpQiL+eBhhpkLF97SeZdKJSEcM7RQpdRmWseiIo9xFFpi2Z1C5zGJ7ErtOrxIuG/0szEv2mPN&#10;cqHClpYVFT+7Py81xoftqv3+/P0w+dGYpTn2X5uNtY/D/u0VVKI+3c03+t0JN5W28oxMoO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oNmDGAAAA3AAAAA8AAAAAAAAA&#10;AAAAAAAAoQIAAGRycy9kb3ducmV2LnhtbFBLBQYAAAAABAAEAPkAAACUAwAAAAA=&#10;" strokecolor="#5a5a5a">
              <v:stroke dashstyle="dash"/>
            </v:shape>
            <v:shape id="AutoShape 220" o:spid="_x0000_s1188" type="#_x0000_t32" style="position:absolute;left:1995;top:3883;width:113;height:0;rotation:-6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E9ocUAAADcAAAADwAAAGRycy9kb3ducmV2LnhtbERPz2vCMBS+D/wfwhN2GZq2hzGqUYYi&#10;uMEOWlF2ezRvbWfzEpqsrfvrl8PA48f3e7keTSt66nxjWUE6T0AQl1Y3XCk4FbvZCwgfkDW2lknB&#10;jTysV5OHJebaDnyg/hgqEUPY56igDsHlUvqyJoN+bh1x5L5sZzBE2FVSdzjEcNPKLEmepcGGY0ON&#10;jjY1ldfjj1Hwfvksvqv9YfN7Hovbx3bn3NPlTanH6fi6ABFoDHfxv3uvFWRpnB/PxCM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E9ocUAAADcAAAADwAAAAAAAAAA&#10;AAAAAAChAgAAZHJzL2Rvd25yZXYueG1sUEsFBgAAAAAEAAQA+QAAAJMDAAAAAA==&#10;" strokecolor="#5a5a5a">
              <v:stroke dashstyle="dash"/>
            </v:shape>
          </v:group>
        </w:pict>
      </w:r>
    </w:p>
    <w:p w:rsidR="00FD7444" w:rsidRPr="005973F5" w:rsidRDefault="00FD7444" w:rsidP="00FD7444">
      <w:pPr>
        <w:spacing w:before="340" w:after="170"/>
        <w:jc w:val="both"/>
        <w:rPr>
          <w:rFonts w:ascii="Times New Roman" w:hAnsi="Times New Roman"/>
          <w:b/>
          <w:sz w:val="18"/>
          <w:szCs w:val="18"/>
          <w:lang w:val="en-US"/>
        </w:rPr>
      </w:pPr>
    </w:p>
    <w:p w:rsidR="00FD7444" w:rsidRPr="005973F5" w:rsidRDefault="00FD7444" w:rsidP="00FD7444">
      <w:pPr>
        <w:spacing w:before="340" w:after="170"/>
        <w:jc w:val="both"/>
        <w:rPr>
          <w:rFonts w:ascii="Times New Roman" w:hAnsi="Times New Roman"/>
          <w:b/>
          <w:sz w:val="18"/>
          <w:szCs w:val="18"/>
          <w:lang w:val="en-US"/>
        </w:rPr>
      </w:pPr>
    </w:p>
    <w:p w:rsidR="00FD7444" w:rsidRPr="005973F5" w:rsidRDefault="00FD7444" w:rsidP="00FD7444">
      <w:pPr>
        <w:spacing w:before="340" w:after="170"/>
        <w:jc w:val="both"/>
        <w:rPr>
          <w:rFonts w:ascii="Times New Roman" w:hAnsi="Times New Roman"/>
          <w:b/>
          <w:sz w:val="18"/>
          <w:szCs w:val="18"/>
          <w:lang w:val="en-US"/>
        </w:rPr>
      </w:pPr>
    </w:p>
    <w:p w:rsidR="00FD7444" w:rsidRPr="005973F5" w:rsidRDefault="00FD7444" w:rsidP="00FD7444">
      <w:pPr>
        <w:spacing w:before="340" w:after="170"/>
        <w:jc w:val="both"/>
        <w:rPr>
          <w:rFonts w:ascii="Times New Roman" w:hAnsi="Times New Roman"/>
          <w:b/>
          <w:sz w:val="18"/>
          <w:szCs w:val="18"/>
          <w:lang w:val="en-US"/>
        </w:rPr>
      </w:pPr>
    </w:p>
    <w:p w:rsidR="00FD7444" w:rsidRPr="005973F5" w:rsidRDefault="00FD7444" w:rsidP="00FD7444">
      <w:pPr>
        <w:spacing w:before="340" w:after="170"/>
        <w:jc w:val="both"/>
        <w:rPr>
          <w:rFonts w:ascii="Times New Roman" w:hAnsi="Times New Roman"/>
          <w:b/>
          <w:sz w:val="18"/>
          <w:szCs w:val="18"/>
          <w:lang w:val="en-US"/>
        </w:rPr>
      </w:pPr>
    </w:p>
    <w:p w:rsidR="00FD7444" w:rsidRPr="00CB7989" w:rsidRDefault="00FD7444" w:rsidP="00755082">
      <w:pPr>
        <w:spacing w:before="170" w:after="170"/>
        <w:jc w:val="both"/>
        <w:rPr>
          <w:rFonts w:ascii="Times New Roman" w:hAnsi="Times New Roman" w:cs="Times New Roman"/>
          <w:bCs/>
          <w:sz w:val="18"/>
          <w:szCs w:val="18"/>
          <w:lang w:val="en-US"/>
        </w:rPr>
      </w:pPr>
      <w:r w:rsidRPr="00CA1091">
        <w:rPr>
          <w:rFonts w:ascii="Times New Roman" w:hAnsi="Times New Roman"/>
          <w:b/>
          <w:sz w:val="18"/>
          <w:szCs w:val="18"/>
          <w:lang w:val="en-GB"/>
        </w:rPr>
        <w:t>Fig</w:t>
      </w:r>
      <w:r w:rsidRPr="00CB7989">
        <w:rPr>
          <w:rFonts w:ascii="Times New Roman" w:hAnsi="Times New Roman"/>
          <w:b/>
          <w:sz w:val="18"/>
          <w:szCs w:val="18"/>
          <w:lang w:val="en-US"/>
        </w:rPr>
        <w:t>. 1</w:t>
      </w:r>
      <w:r w:rsidR="000837E6">
        <w:rPr>
          <w:rFonts w:ascii="Times New Roman" w:hAnsi="Times New Roman"/>
          <w:b/>
          <w:sz w:val="18"/>
          <w:szCs w:val="18"/>
          <w:lang w:val="en-US"/>
        </w:rPr>
        <w:t>6</w:t>
      </w:r>
      <w:r w:rsidRPr="00CB7989">
        <w:rPr>
          <w:rFonts w:ascii="Times New Roman" w:hAnsi="Times New Roman"/>
          <w:b/>
          <w:bCs/>
          <w:sz w:val="18"/>
          <w:szCs w:val="18"/>
          <w:lang w:val="en-US"/>
        </w:rPr>
        <w:t>.</w:t>
      </w:r>
      <w:r w:rsidRPr="00CB7989">
        <w:rPr>
          <w:rFonts w:ascii="Times New Roman" w:hAnsi="Times New Roman"/>
          <w:sz w:val="18"/>
          <w:szCs w:val="18"/>
          <w:lang w:val="en-US"/>
        </w:rPr>
        <w:t xml:space="preserve"> </w:t>
      </w:r>
      <w:r w:rsidR="00CB7989" w:rsidRPr="007B3E69">
        <w:rPr>
          <w:rFonts w:ascii="Times New Roman" w:hAnsi="Times New Roman"/>
          <w:sz w:val="18"/>
          <w:szCs w:val="18"/>
          <w:lang w:val="en-GB"/>
        </w:rPr>
        <w:t>Energy</w:t>
      </w:r>
      <w:r w:rsidR="00CB7989" w:rsidRPr="007B3E69">
        <w:rPr>
          <w:rFonts w:ascii="Times New Roman" w:hAnsi="Times New Roman"/>
          <w:sz w:val="18"/>
          <w:szCs w:val="18"/>
          <w:lang w:val="en-US"/>
        </w:rPr>
        <w:t xml:space="preserve"> </w:t>
      </w:r>
      <w:r w:rsidR="00CB7989" w:rsidRPr="007B3E69">
        <w:rPr>
          <w:rFonts w:ascii="Times New Roman" w:hAnsi="Times New Roman"/>
          <w:sz w:val="18"/>
          <w:szCs w:val="18"/>
          <w:lang w:val="en-GB"/>
        </w:rPr>
        <w:t>Architecture</w:t>
      </w:r>
      <w:r w:rsidR="00CB7989" w:rsidRPr="007B3E69">
        <w:rPr>
          <w:rFonts w:ascii="Times New Roman" w:hAnsi="Times New Roman"/>
          <w:sz w:val="18"/>
          <w:szCs w:val="18"/>
          <w:lang w:val="en-US"/>
        </w:rPr>
        <w:t xml:space="preserve"> </w:t>
      </w:r>
      <w:r w:rsidR="00CB7989" w:rsidRPr="007B3E69">
        <w:rPr>
          <w:rFonts w:ascii="Times New Roman" w:hAnsi="Times New Roman"/>
          <w:sz w:val="18"/>
          <w:szCs w:val="18"/>
          <w:lang w:val="en-GB"/>
        </w:rPr>
        <w:t>Performance</w:t>
      </w:r>
      <w:r w:rsidR="00CB7989" w:rsidRPr="007B3E69">
        <w:rPr>
          <w:rFonts w:ascii="Times New Roman" w:hAnsi="Times New Roman"/>
          <w:sz w:val="18"/>
          <w:szCs w:val="18"/>
          <w:lang w:val="en-US"/>
        </w:rPr>
        <w:t xml:space="preserve"> </w:t>
      </w:r>
      <w:r w:rsidR="00CB7989" w:rsidRPr="007B3E69">
        <w:rPr>
          <w:rFonts w:ascii="Times New Roman" w:hAnsi="Times New Roman"/>
          <w:sz w:val="18"/>
          <w:szCs w:val="18"/>
          <w:lang w:val="en-GB"/>
        </w:rPr>
        <w:t>Index</w:t>
      </w:r>
      <w:r w:rsidR="00CB7989">
        <w:rPr>
          <w:rFonts w:ascii="Times New Roman" w:hAnsi="Times New Roman"/>
          <w:sz w:val="18"/>
          <w:szCs w:val="18"/>
          <w:lang w:val="en-GB"/>
        </w:rPr>
        <w:t xml:space="preserve"> of </w:t>
      </w:r>
      <w:r w:rsidR="00CB7989">
        <w:rPr>
          <w:rFonts w:ascii="Times New Roman" w:hAnsi="Times New Roman"/>
          <w:sz w:val="18"/>
          <w:szCs w:val="18"/>
          <w:lang w:val="en-US"/>
        </w:rPr>
        <w:t>Azerbaijan</w:t>
      </w:r>
    </w:p>
    <w:p w:rsidR="009C0954" w:rsidRDefault="009C0954" w:rsidP="009C0954">
      <w:pPr>
        <w:tabs>
          <w:tab w:val="left" w:pos="340"/>
        </w:tabs>
        <w:ind w:firstLine="284"/>
        <w:jc w:val="both"/>
        <w:rPr>
          <w:rFonts w:ascii="Times New Roman" w:hAnsi="Times New Roman" w:cs="Times New Roman"/>
          <w:sz w:val="20"/>
          <w:lang w:val="en-US"/>
        </w:rPr>
      </w:pPr>
      <w:r w:rsidRPr="005973F5">
        <w:rPr>
          <w:rFonts w:ascii="Times New Roman" w:hAnsi="Times New Roman" w:cs="Times New Roman"/>
          <w:sz w:val="20"/>
          <w:lang w:val="en-US"/>
        </w:rPr>
        <w:lastRenderedPageBreak/>
        <w:t xml:space="preserve">As </w:t>
      </w:r>
      <w:r>
        <w:rPr>
          <w:rFonts w:ascii="Times New Roman" w:hAnsi="Times New Roman" w:cs="Times New Roman"/>
          <w:sz w:val="20"/>
          <w:lang w:val="en-US"/>
        </w:rPr>
        <w:t>is obvious from</w:t>
      </w:r>
      <w:r w:rsidRPr="005973F5">
        <w:rPr>
          <w:rFonts w:ascii="Times New Roman" w:hAnsi="Times New Roman" w:cs="Times New Roman"/>
          <w:sz w:val="20"/>
          <w:lang w:val="en-US"/>
        </w:rPr>
        <w:t xml:space="preserve"> the energy triangle, there are significant potentials for improvement </w:t>
      </w:r>
      <w:r>
        <w:rPr>
          <w:rFonts w:ascii="Times New Roman" w:hAnsi="Times New Roman" w:cs="Times New Roman"/>
          <w:sz w:val="20"/>
          <w:lang w:val="en-US"/>
        </w:rPr>
        <w:t xml:space="preserve">of the state </w:t>
      </w:r>
      <w:r w:rsidRPr="005973F5">
        <w:rPr>
          <w:rFonts w:ascii="Times New Roman" w:hAnsi="Times New Roman" w:cs="Times New Roman"/>
          <w:sz w:val="20"/>
          <w:lang w:val="en-US"/>
        </w:rPr>
        <w:t>in the Enviro</w:t>
      </w:r>
      <w:r>
        <w:rPr>
          <w:rFonts w:ascii="Times New Roman" w:hAnsi="Times New Roman" w:cs="Times New Roman"/>
          <w:sz w:val="20"/>
          <w:lang w:val="en-US"/>
        </w:rPr>
        <w:t>n</w:t>
      </w:r>
      <w:r w:rsidRPr="005973F5">
        <w:rPr>
          <w:rFonts w:ascii="Times New Roman" w:hAnsi="Times New Roman" w:cs="Times New Roman"/>
          <w:sz w:val="20"/>
          <w:lang w:val="en-US"/>
        </w:rPr>
        <w:t xml:space="preserve">mental sustainability subsystem, quite large potentials </w:t>
      </w:r>
      <w:r>
        <w:rPr>
          <w:rFonts w:ascii="Times New Roman" w:hAnsi="Times New Roman" w:cs="Times New Roman"/>
          <w:sz w:val="20"/>
          <w:lang w:val="en-US"/>
        </w:rPr>
        <w:t xml:space="preserve">are </w:t>
      </w:r>
      <w:r w:rsidRPr="005973F5">
        <w:rPr>
          <w:rFonts w:ascii="Times New Roman" w:hAnsi="Times New Roman" w:cs="Times New Roman"/>
          <w:sz w:val="20"/>
          <w:lang w:val="en-US"/>
        </w:rPr>
        <w:t>in the</w:t>
      </w:r>
      <w:r>
        <w:rPr>
          <w:rFonts w:ascii="Times New Roman" w:hAnsi="Times New Roman" w:cs="Times New Roman"/>
          <w:sz w:val="20"/>
          <w:lang w:val="en-US"/>
        </w:rPr>
        <w:t xml:space="preserve"> E</w:t>
      </w:r>
      <w:r w:rsidRPr="005973F5">
        <w:rPr>
          <w:rFonts w:ascii="Times New Roman" w:hAnsi="Times New Roman" w:cs="Times New Roman"/>
          <w:sz w:val="20"/>
          <w:lang w:val="en-US"/>
        </w:rPr>
        <w:t>conomic g</w:t>
      </w:r>
      <w:r>
        <w:rPr>
          <w:rFonts w:ascii="Times New Roman" w:hAnsi="Times New Roman" w:cs="Times New Roman"/>
          <w:sz w:val="20"/>
          <w:lang w:val="en-US"/>
        </w:rPr>
        <w:t>rowth and development subsystem</w:t>
      </w:r>
      <w:r w:rsidRPr="005973F5">
        <w:rPr>
          <w:rFonts w:ascii="Times New Roman" w:hAnsi="Times New Roman" w:cs="Times New Roman"/>
          <w:sz w:val="20"/>
          <w:lang w:val="en-US"/>
        </w:rPr>
        <w:t xml:space="preserve"> and small potentials for improvement </w:t>
      </w:r>
      <w:r>
        <w:rPr>
          <w:rFonts w:ascii="Times New Roman" w:hAnsi="Times New Roman" w:cs="Times New Roman"/>
          <w:sz w:val="20"/>
          <w:lang w:val="en-US"/>
        </w:rPr>
        <w:t xml:space="preserve">are </w:t>
      </w:r>
      <w:r w:rsidRPr="005973F5">
        <w:rPr>
          <w:rFonts w:ascii="Times New Roman" w:hAnsi="Times New Roman" w:cs="Times New Roman"/>
          <w:sz w:val="20"/>
          <w:lang w:val="en-US"/>
        </w:rPr>
        <w:t>in the Energy access and security subsystem</w:t>
      </w:r>
      <w:r>
        <w:rPr>
          <w:rFonts w:ascii="Times New Roman" w:hAnsi="Times New Roman" w:cs="Times New Roman"/>
          <w:sz w:val="20"/>
          <w:lang w:val="en-US"/>
        </w:rPr>
        <w:t>.</w:t>
      </w:r>
    </w:p>
    <w:p w:rsidR="00CB7989" w:rsidRPr="009C0954" w:rsidRDefault="00CB7989" w:rsidP="00CB7989">
      <w:pPr>
        <w:tabs>
          <w:tab w:val="left" w:pos="340"/>
        </w:tabs>
        <w:spacing w:before="340" w:after="170"/>
        <w:jc w:val="both"/>
        <w:rPr>
          <w:rFonts w:ascii="Arial" w:hAnsi="Arial" w:cs="Arial"/>
          <w:b/>
          <w:szCs w:val="24"/>
          <w:lang w:val="en-US"/>
        </w:rPr>
      </w:pPr>
      <w:r>
        <w:rPr>
          <w:rFonts w:ascii="Arial" w:hAnsi="Arial" w:cs="Arial"/>
          <w:b/>
          <w:szCs w:val="24"/>
          <w:lang w:val="en-GB"/>
        </w:rPr>
        <w:t>C</w:t>
      </w:r>
      <w:r w:rsidRPr="00926F5D">
        <w:rPr>
          <w:rFonts w:ascii="Arial" w:hAnsi="Arial" w:cs="Arial"/>
          <w:b/>
          <w:szCs w:val="24"/>
          <w:lang w:val="en-GB"/>
        </w:rPr>
        <w:t>onclusions</w:t>
      </w:r>
    </w:p>
    <w:p w:rsidR="00527190" w:rsidRDefault="00AE17EF" w:rsidP="004A1B4E">
      <w:pPr>
        <w:pStyle w:val="ad"/>
        <w:numPr>
          <w:ilvl w:val="0"/>
          <w:numId w:val="3"/>
        </w:numPr>
        <w:ind w:left="0" w:firstLine="0"/>
        <w:jc w:val="both"/>
        <w:rPr>
          <w:sz w:val="20"/>
        </w:rPr>
      </w:pPr>
      <w:r>
        <w:rPr>
          <w:sz w:val="20"/>
        </w:rPr>
        <w:t>T</w:t>
      </w:r>
      <w:r w:rsidRPr="00AE17EF">
        <w:rPr>
          <w:sz w:val="20"/>
        </w:rPr>
        <w:t xml:space="preserve">he most characteristic features of energy </w:t>
      </w:r>
      <w:r>
        <w:rPr>
          <w:sz w:val="20"/>
        </w:rPr>
        <w:t>sector performance</w:t>
      </w:r>
      <w:r w:rsidRPr="00AE17EF">
        <w:rPr>
          <w:sz w:val="20"/>
        </w:rPr>
        <w:t xml:space="preserve"> in the selected regions </w:t>
      </w:r>
      <w:r>
        <w:rPr>
          <w:sz w:val="20"/>
        </w:rPr>
        <w:t>are i</w:t>
      </w:r>
      <w:r w:rsidRPr="00AE17EF">
        <w:rPr>
          <w:sz w:val="20"/>
        </w:rPr>
        <w:t>dentified</w:t>
      </w:r>
      <w:r w:rsidR="005663AD" w:rsidRPr="00527190">
        <w:rPr>
          <w:sz w:val="20"/>
        </w:rPr>
        <w:t xml:space="preserve">: </w:t>
      </w:r>
      <w:r w:rsidR="00C462CD">
        <w:rPr>
          <w:sz w:val="20"/>
        </w:rPr>
        <w:t>in relatively developed countr</w:t>
      </w:r>
      <w:r w:rsidR="00CA4E43">
        <w:rPr>
          <w:sz w:val="20"/>
        </w:rPr>
        <w:t>ies</w:t>
      </w:r>
      <w:r w:rsidR="005663AD" w:rsidRPr="00527190">
        <w:rPr>
          <w:sz w:val="20"/>
        </w:rPr>
        <w:t xml:space="preserve"> (</w:t>
      </w:r>
      <w:r w:rsidR="00CA4E43">
        <w:rPr>
          <w:sz w:val="20"/>
        </w:rPr>
        <w:t>regions</w:t>
      </w:r>
      <w:r w:rsidR="005663AD" w:rsidRPr="00527190">
        <w:rPr>
          <w:sz w:val="20"/>
        </w:rPr>
        <w:t xml:space="preserve">) </w:t>
      </w:r>
      <w:r w:rsidR="00CA4E43">
        <w:rPr>
          <w:sz w:val="20"/>
        </w:rPr>
        <w:t xml:space="preserve">the </w:t>
      </w:r>
      <w:r w:rsidR="005663AD" w:rsidRPr="00527190">
        <w:rPr>
          <w:sz w:val="20"/>
        </w:rPr>
        <w:t>"</w:t>
      </w:r>
      <w:r w:rsidR="00CA4E43">
        <w:rPr>
          <w:sz w:val="20"/>
        </w:rPr>
        <w:t>E</w:t>
      </w:r>
      <w:r w:rsidR="00CA4E43" w:rsidRPr="00AE17EF">
        <w:rPr>
          <w:sz w:val="20"/>
        </w:rPr>
        <w:t xml:space="preserve">nergy </w:t>
      </w:r>
      <w:r w:rsidR="00CA4E43">
        <w:rPr>
          <w:sz w:val="20"/>
        </w:rPr>
        <w:t>access</w:t>
      </w:r>
      <w:r w:rsidR="00CA4E43" w:rsidRPr="00AE17EF">
        <w:rPr>
          <w:sz w:val="20"/>
        </w:rPr>
        <w:t xml:space="preserve"> and security</w:t>
      </w:r>
      <w:r w:rsidR="005663AD" w:rsidRPr="00527190">
        <w:rPr>
          <w:sz w:val="20"/>
        </w:rPr>
        <w:t xml:space="preserve">" </w:t>
      </w:r>
      <w:r w:rsidR="00CA4E43">
        <w:rPr>
          <w:sz w:val="20"/>
        </w:rPr>
        <w:t xml:space="preserve">subsystem shows high values and </w:t>
      </w:r>
      <w:r w:rsidR="005663AD" w:rsidRPr="00527190">
        <w:rPr>
          <w:sz w:val="20"/>
        </w:rPr>
        <w:t>"</w:t>
      </w:r>
      <w:r w:rsidR="00CA4E43">
        <w:rPr>
          <w:sz w:val="20"/>
        </w:rPr>
        <w:t>Economic growth and development</w:t>
      </w:r>
      <w:r w:rsidR="005663AD" w:rsidRPr="00527190">
        <w:rPr>
          <w:sz w:val="20"/>
        </w:rPr>
        <w:t>"</w:t>
      </w:r>
      <w:r w:rsidR="00CA4E43">
        <w:rPr>
          <w:sz w:val="20"/>
        </w:rPr>
        <w:t xml:space="preserve"> subsystem shows relatively low values</w:t>
      </w:r>
      <w:r w:rsidR="005663AD" w:rsidRPr="00527190">
        <w:rPr>
          <w:sz w:val="20"/>
        </w:rPr>
        <w:t xml:space="preserve">, </w:t>
      </w:r>
      <w:r w:rsidR="00CA4E43">
        <w:rPr>
          <w:sz w:val="20"/>
        </w:rPr>
        <w:t>and resulting value of the energy sector performance efficiency of countries of the mentioned regions have a relatively middle position</w:t>
      </w:r>
      <w:r w:rsidR="005663AD" w:rsidRPr="00527190">
        <w:rPr>
          <w:sz w:val="20"/>
        </w:rPr>
        <w:t xml:space="preserve">. </w:t>
      </w:r>
      <w:r w:rsidRPr="00AE17EF">
        <w:rPr>
          <w:sz w:val="20"/>
        </w:rPr>
        <w:t xml:space="preserve">This state of </w:t>
      </w:r>
      <w:r>
        <w:rPr>
          <w:sz w:val="20"/>
        </w:rPr>
        <w:t xml:space="preserve">the </w:t>
      </w:r>
      <w:r w:rsidRPr="00AE17EF">
        <w:rPr>
          <w:sz w:val="20"/>
        </w:rPr>
        <w:t xml:space="preserve">energy </w:t>
      </w:r>
      <w:r>
        <w:rPr>
          <w:sz w:val="20"/>
        </w:rPr>
        <w:t xml:space="preserve">sector performance </w:t>
      </w:r>
      <w:r w:rsidRPr="00AE17EF">
        <w:rPr>
          <w:sz w:val="20"/>
        </w:rPr>
        <w:t>efficiency is observed in the countries of the European Union</w:t>
      </w:r>
      <w:r>
        <w:rPr>
          <w:sz w:val="20"/>
        </w:rPr>
        <w:t xml:space="preserve"> (</w:t>
      </w:r>
      <w:r w:rsidRPr="00AE17EF">
        <w:rPr>
          <w:sz w:val="20"/>
        </w:rPr>
        <w:t>EU), North America, South Africa (BRICS), the Association of Southeast Asian countries (ASEAN) and CIS countries</w:t>
      </w:r>
      <w:r>
        <w:rPr>
          <w:sz w:val="20"/>
        </w:rPr>
        <w:t>.</w:t>
      </w:r>
    </w:p>
    <w:p w:rsidR="00527190" w:rsidRDefault="00AE17EF" w:rsidP="004A1B4E">
      <w:pPr>
        <w:pStyle w:val="ad"/>
        <w:numPr>
          <w:ilvl w:val="0"/>
          <w:numId w:val="3"/>
        </w:numPr>
        <w:ind w:left="0" w:firstLine="0"/>
        <w:jc w:val="both"/>
        <w:rPr>
          <w:sz w:val="20"/>
        </w:rPr>
      </w:pPr>
      <w:r w:rsidRPr="00AE17EF">
        <w:rPr>
          <w:sz w:val="20"/>
        </w:rPr>
        <w:t xml:space="preserve">In less developed </w:t>
      </w:r>
      <w:r w:rsidR="00C462CD">
        <w:rPr>
          <w:sz w:val="20"/>
        </w:rPr>
        <w:t>countries</w:t>
      </w:r>
      <w:r w:rsidRPr="00AE17EF">
        <w:rPr>
          <w:sz w:val="20"/>
        </w:rPr>
        <w:t xml:space="preserve"> (South of Sahara (Sub-Saharan Africa)) a characteristic feature of energy </w:t>
      </w:r>
      <w:r w:rsidR="00B77C14">
        <w:rPr>
          <w:sz w:val="20"/>
        </w:rPr>
        <w:t xml:space="preserve">sector performance </w:t>
      </w:r>
      <w:r w:rsidRPr="00AE17EF">
        <w:rPr>
          <w:sz w:val="20"/>
        </w:rPr>
        <w:t xml:space="preserve">efficiency is the relatively high value of the </w:t>
      </w:r>
      <w:r w:rsidR="00C462CD">
        <w:rPr>
          <w:sz w:val="20"/>
        </w:rPr>
        <w:t>"Environmental sustainability"</w:t>
      </w:r>
      <w:r w:rsidRPr="00AE17EF">
        <w:rPr>
          <w:sz w:val="20"/>
        </w:rPr>
        <w:t xml:space="preserve"> </w:t>
      </w:r>
      <w:r w:rsidR="00C462CD" w:rsidRPr="00AE17EF">
        <w:rPr>
          <w:sz w:val="20"/>
        </w:rPr>
        <w:t xml:space="preserve">subsystem </w:t>
      </w:r>
      <w:r w:rsidRPr="00AE17EF">
        <w:rPr>
          <w:sz w:val="20"/>
        </w:rPr>
        <w:t>and th</w:t>
      </w:r>
      <w:r w:rsidR="00C462CD">
        <w:rPr>
          <w:sz w:val="20"/>
        </w:rPr>
        <w:t>e low values of the "E</w:t>
      </w:r>
      <w:r w:rsidRPr="00AE17EF">
        <w:rPr>
          <w:sz w:val="20"/>
        </w:rPr>
        <w:t>nergy A</w:t>
      </w:r>
      <w:r w:rsidR="00C462CD">
        <w:rPr>
          <w:sz w:val="20"/>
        </w:rPr>
        <w:t>ccess</w:t>
      </w:r>
      <w:r w:rsidRPr="00AE17EF">
        <w:rPr>
          <w:sz w:val="20"/>
        </w:rPr>
        <w:t xml:space="preserve"> and safety"</w:t>
      </w:r>
      <w:r w:rsidR="00C462CD">
        <w:rPr>
          <w:sz w:val="20"/>
        </w:rPr>
        <w:t xml:space="preserve"> subsystem</w:t>
      </w:r>
      <w:r w:rsidRPr="00AE17EF">
        <w:rPr>
          <w:sz w:val="20"/>
        </w:rPr>
        <w:t>.</w:t>
      </w:r>
      <w:r w:rsidR="005663AD" w:rsidRPr="00527190">
        <w:rPr>
          <w:sz w:val="20"/>
        </w:rPr>
        <w:t xml:space="preserve"> </w:t>
      </w:r>
      <w:r w:rsidRPr="00AE17EF">
        <w:rPr>
          <w:sz w:val="20"/>
        </w:rPr>
        <w:t>At the same time, in the Middle East and North Africa (MEN</w:t>
      </w:r>
      <w:r>
        <w:rPr>
          <w:sz w:val="20"/>
        </w:rPr>
        <w:t>A) countries, high values for "E</w:t>
      </w:r>
      <w:r w:rsidRPr="00AE17EF">
        <w:rPr>
          <w:sz w:val="20"/>
        </w:rPr>
        <w:t xml:space="preserve">nergy </w:t>
      </w:r>
      <w:r>
        <w:rPr>
          <w:sz w:val="20"/>
        </w:rPr>
        <w:t>access</w:t>
      </w:r>
      <w:r w:rsidRPr="00AE17EF">
        <w:rPr>
          <w:sz w:val="20"/>
        </w:rPr>
        <w:t xml:space="preserve"> and security"</w:t>
      </w:r>
      <w:r>
        <w:rPr>
          <w:sz w:val="20"/>
        </w:rPr>
        <w:t xml:space="preserve"> subsystem</w:t>
      </w:r>
      <w:r w:rsidRPr="00AE17EF">
        <w:rPr>
          <w:sz w:val="20"/>
        </w:rPr>
        <w:t xml:space="preserve"> and low values for the "Environm</w:t>
      </w:r>
      <w:r>
        <w:rPr>
          <w:sz w:val="20"/>
        </w:rPr>
        <w:t>ental sustainability" subsystem</w:t>
      </w:r>
      <w:r w:rsidRPr="00AE17EF">
        <w:rPr>
          <w:sz w:val="20"/>
        </w:rPr>
        <w:t xml:space="preserve"> are observed</w:t>
      </w:r>
      <w:r w:rsidR="00C462CD">
        <w:rPr>
          <w:sz w:val="20"/>
        </w:rPr>
        <w:t>.</w:t>
      </w:r>
    </w:p>
    <w:p w:rsidR="003F4AEF" w:rsidRPr="00527190" w:rsidRDefault="00AE17EF" w:rsidP="004A1B4E">
      <w:pPr>
        <w:pStyle w:val="ad"/>
        <w:numPr>
          <w:ilvl w:val="0"/>
          <w:numId w:val="3"/>
        </w:numPr>
        <w:ind w:left="0" w:firstLine="0"/>
        <w:jc w:val="both"/>
        <w:rPr>
          <w:rFonts w:ascii="Times New Roman" w:hAnsi="Times New Roman" w:cs="Times New Roman"/>
          <w:sz w:val="20"/>
        </w:rPr>
      </w:pPr>
      <w:r>
        <w:rPr>
          <w:rFonts w:ascii="Times New Roman" w:hAnsi="Times New Roman" w:cs="Times New Roman"/>
          <w:sz w:val="20"/>
        </w:rPr>
        <w:t>R</w:t>
      </w:r>
      <w:r w:rsidRPr="00AE17EF">
        <w:rPr>
          <w:rFonts w:ascii="Times New Roman" w:hAnsi="Times New Roman" w:cs="Times New Roman"/>
          <w:sz w:val="20"/>
        </w:rPr>
        <w:t xml:space="preserve">ecalculations of </w:t>
      </w:r>
      <w:r>
        <w:rPr>
          <w:rFonts w:ascii="Times New Roman" w:hAnsi="Times New Roman" w:cs="Times New Roman"/>
          <w:sz w:val="20"/>
        </w:rPr>
        <w:t xml:space="preserve">values of </w:t>
      </w:r>
      <w:r w:rsidRPr="00AE17EF">
        <w:rPr>
          <w:rFonts w:ascii="Times New Roman" w:hAnsi="Times New Roman" w:cs="Times New Roman"/>
          <w:sz w:val="20"/>
        </w:rPr>
        <w:t xml:space="preserve">Azerbaijan's energy </w:t>
      </w:r>
      <w:r>
        <w:rPr>
          <w:rFonts w:ascii="Times New Roman" w:hAnsi="Times New Roman" w:cs="Times New Roman"/>
          <w:sz w:val="20"/>
        </w:rPr>
        <w:t xml:space="preserve">sector performance </w:t>
      </w:r>
      <w:r w:rsidRPr="00AE17EF">
        <w:rPr>
          <w:rFonts w:ascii="Times New Roman" w:hAnsi="Times New Roman" w:cs="Times New Roman"/>
          <w:sz w:val="20"/>
        </w:rPr>
        <w:t xml:space="preserve">efficiency for the period under review </w:t>
      </w:r>
      <w:r>
        <w:rPr>
          <w:rFonts w:ascii="Times New Roman" w:hAnsi="Times New Roman" w:cs="Times New Roman"/>
          <w:sz w:val="20"/>
        </w:rPr>
        <w:t>have been</w:t>
      </w:r>
      <w:r w:rsidRPr="00AE17EF">
        <w:rPr>
          <w:rFonts w:ascii="Times New Roman" w:hAnsi="Times New Roman" w:cs="Times New Roman"/>
          <w:sz w:val="20"/>
        </w:rPr>
        <w:t xml:space="preserve"> </w:t>
      </w:r>
      <w:r>
        <w:rPr>
          <w:rFonts w:ascii="Times New Roman" w:hAnsi="Times New Roman" w:cs="Times New Roman"/>
          <w:sz w:val="20"/>
        </w:rPr>
        <w:t>performed</w:t>
      </w:r>
      <w:r w:rsidRPr="00AE17EF">
        <w:rPr>
          <w:rFonts w:ascii="Times New Roman" w:hAnsi="Times New Roman" w:cs="Times New Roman"/>
          <w:sz w:val="20"/>
        </w:rPr>
        <w:t xml:space="preserve">, taking into account all available indicators included in the system of indicators for evaluating individual subsystems, </w:t>
      </w:r>
      <w:r>
        <w:rPr>
          <w:rFonts w:ascii="Times New Roman" w:hAnsi="Times New Roman" w:cs="Times New Roman"/>
          <w:sz w:val="20"/>
        </w:rPr>
        <w:t>due to this fact the</w:t>
      </w:r>
      <w:r w:rsidRPr="00AE17EF">
        <w:rPr>
          <w:rFonts w:ascii="Times New Roman" w:hAnsi="Times New Roman" w:cs="Times New Roman"/>
          <w:sz w:val="20"/>
        </w:rPr>
        <w:t xml:space="preserve"> Azerbaijan's place in the world rating could move several positions higher</w:t>
      </w:r>
      <w:r>
        <w:rPr>
          <w:rFonts w:ascii="Times New Roman" w:hAnsi="Times New Roman" w:cs="Times New Roman"/>
          <w:sz w:val="20"/>
        </w:rPr>
        <w:t>.</w:t>
      </w:r>
      <w:r w:rsidR="00E71F4B">
        <w:rPr>
          <w:rFonts w:ascii="Times New Roman" w:hAnsi="Times New Roman" w:cs="Times New Roman"/>
          <w:sz w:val="20"/>
        </w:rPr>
        <w:t xml:space="preserve"> </w:t>
      </w:r>
    </w:p>
    <w:p w:rsidR="003F4AEF" w:rsidRDefault="003F4AEF" w:rsidP="005663AD">
      <w:pPr>
        <w:ind w:firstLine="284"/>
        <w:jc w:val="both"/>
        <w:rPr>
          <w:sz w:val="20"/>
        </w:rPr>
      </w:pPr>
    </w:p>
    <w:p w:rsidR="0007035E" w:rsidRPr="001B133F" w:rsidRDefault="00F27A87" w:rsidP="001B133F">
      <w:pPr>
        <w:numPr>
          <w:ilvl w:val="0"/>
          <w:numId w:val="1"/>
        </w:numPr>
        <w:tabs>
          <w:tab w:val="left" w:pos="360"/>
        </w:tabs>
        <w:spacing w:before="60"/>
        <w:ind w:left="357" w:hanging="357"/>
        <w:jc w:val="both"/>
        <w:rPr>
          <w:rFonts w:ascii="Times New Roman" w:hAnsi="Times New Roman" w:cs="Times New Roman"/>
          <w:sz w:val="20"/>
          <w:lang w:val="en-US"/>
        </w:rPr>
      </w:pPr>
      <w:r w:rsidRPr="009A7E30">
        <w:rPr>
          <w:sz w:val="20"/>
          <w:lang w:val="en-US"/>
        </w:rPr>
        <w:t xml:space="preserve">The </w:t>
      </w:r>
      <w:r w:rsidRPr="00BE77EA">
        <w:rPr>
          <w:sz w:val="20"/>
          <w:lang w:val="en-GB"/>
        </w:rPr>
        <w:t>Global</w:t>
      </w:r>
      <w:r w:rsidRPr="009A7E30">
        <w:rPr>
          <w:sz w:val="20"/>
          <w:lang w:val="en-US"/>
        </w:rPr>
        <w:t xml:space="preserve"> </w:t>
      </w:r>
      <w:r w:rsidRPr="001B133F">
        <w:rPr>
          <w:rFonts w:ascii="Times New Roman" w:hAnsi="Times New Roman" w:cs="Times New Roman"/>
          <w:sz w:val="20"/>
          <w:lang w:val="en-US"/>
        </w:rPr>
        <w:t>Energy Architecture Performance Index Report 2013,</w:t>
      </w:r>
    </w:p>
    <w:p w:rsidR="00F27A87" w:rsidRPr="001B133F" w:rsidRDefault="00F27A87" w:rsidP="001B133F">
      <w:pPr>
        <w:tabs>
          <w:tab w:val="left" w:pos="360"/>
        </w:tabs>
        <w:spacing w:before="60"/>
        <w:ind w:left="357"/>
        <w:jc w:val="both"/>
        <w:rPr>
          <w:rFonts w:ascii="Times New Roman" w:hAnsi="Times New Roman" w:cs="Times New Roman"/>
          <w:sz w:val="20"/>
          <w:lang w:val="en-US"/>
        </w:rPr>
      </w:pPr>
      <w:hyperlink r:id="rId26" w:history="1">
        <w:r w:rsidRPr="001B133F">
          <w:rPr>
            <w:rStyle w:val="af"/>
            <w:rFonts w:ascii="Times New Roman" w:hAnsi="Times New Roman" w:cs="Times New Roman"/>
            <w:sz w:val="20"/>
            <w:lang w:val="en-US"/>
          </w:rPr>
          <w:t>http://www3.weforum.org/docs/WEF_EN_NewEnergyArchitecturePerformanceIndex_ExecutiveSummary_2013.pdf</w:t>
        </w:r>
      </w:hyperlink>
    </w:p>
    <w:p w:rsidR="00F27A87" w:rsidRPr="001B133F" w:rsidRDefault="00F27A87" w:rsidP="001B133F">
      <w:pPr>
        <w:numPr>
          <w:ilvl w:val="0"/>
          <w:numId w:val="1"/>
        </w:numPr>
        <w:tabs>
          <w:tab w:val="left" w:pos="360"/>
        </w:tabs>
        <w:spacing w:before="60"/>
        <w:ind w:left="357" w:hanging="357"/>
        <w:jc w:val="both"/>
        <w:rPr>
          <w:rFonts w:ascii="Times New Roman" w:hAnsi="Times New Roman" w:cs="Times New Roman"/>
          <w:sz w:val="20"/>
          <w:lang w:val="en-US"/>
        </w:rPr>
      </w:pPr>
      <w:r w:rsidRPr="001B133F">
        <w:rPr>
          <w:rFonts w:ascii="Times New Roman" w:hAnsi="Times New Roman" w:cs="Times New Roman"/>
          <w:sz w:val="20"/>
          <w:lang w:val="en-US"/>
        </w:rPr>
        <w:t xml:space="preserve">The Global Energy Architecture Performance </w:t>
      </w:r>
      <w:r w:rsidRPr="001B133F">
        <w:rPr>
          <w:rFonts w:ascii="Times New Roman" w:hAnsi="Times New Roman" w:cs="Times New Roman"/>
          <w:sz w:val="20"/>
          <w:lang w:val="en-GB"/>
        </w:rPr>
        <w:t>Index</w:t>
      </w:r>
      <w:r w:rsidRPr="001B133F">
        <w:rPr>
          <w:rFonts w:ascii="Times New Roman" w:hAnsi="Times New Roman" w:cs="Times New Roman"/>
          <w:sz w:val="20"/>
          <w:lang w:val="en-US"/>
        </w:rPr>
        <w:t xml:space="preserve"> Report 2014, </w:t>
      </w:r>
      <w:hyperlink r:id="rId27" w:history="1">
        <w:r w:rsidRPr="001B133F">
          <w:rPr>
            <w:rStyle w:val="af"/>
            <w:rFonts w:ascii="Times New Roman" w:hAnsi="Times New Roman" w:cs="Times New Roman"/>
            <w:sz w:val="20"/>
            <w:lang w:val="en-US"/>
          </w:rPr>
          <w:t>https://www.accenture.com/ke-en/_acnmedia/accenture/next-gen/reassembling-industry/pdf/accenture-global-energy-architecture-performance-index-report-2014.pdf</w:t>
        </w:r>
      </w:hyperlink>
    </w:p>
    <w:p w:rsidR="0007035E" w:rsidRPr="001B133F" w:rsidRDefault="00F27A87" w:rsidP="001B133F">
      <w:pPr>
        <w:numPr>
          <w:ilvl w:val="0"/>
          <w:numId w:val="1"/>
        </w:numPr>
        <w:tabs>
          <w:tab w:val="left" w:pos="360"/>
        </w:tabs>
        <w:spacing w:before="60"/>
        <w:ind w:left="357" w:hanging="357"/>
        <w:jc w:val="both"/>
        <w:rPr>
          <w:rFonts w:ascii="Times New Roman" w:hAnsi="Times New Roman" w:cs="Times New Roman"/>
          <w:sz w:val="20"/>
          <w:lang w:val="en-US"/>
        </w:rPr>
      </w:pPr>
      <w:r w:rsidRPr="001B133F">
        <w:rPr>
          <w:rFonts w:ascii="Times New Roman" w:hAnsi="Times New Roman" w:cs="Times New Roman"/>
          <w:sz w:val="20"/>
          <w:lang w:val="en-US"/>
        </w:rPr>
        <w:t xml:space="preserve">Global Energy Architecture Performance Index </w:t>
      </w:r>
      <w:r w:rsidRPr="001B133F">
        <w:rPr>
          <w:rFonts w:ascii="Times New Roman" w:hAnsi="Times New Roman" w:cs="Times New Roman"/>
          <w:sz w:val="20"/>
          <w:lang w:val="en-GB"/>
        </w:rPr>
        <w:t>Report</w:t>
      </w:r>
      <w:r w:rsidRPr="001B133F">
        <w:rPr>
          <w:rFonts w:ascii="Times New Roman" w:hAnsi="Times New Roman" w:cs="Times New Roman"/>
          <w:sz w:val="20"/>
          <w:lang w:val="en-US"/>
        </w:rPr>
        <w:t xml:space="preserve"> 2015,</w:t>
      </w:r>
    </w:p>
    <w:p w:rsidR="00F27A87" w:rsidRPr="001B133F" w:rsidRDefault="00F27A87" w:rsidP="001B133F">
      <w:pPr>
        <w:tabs>
          <w:tab w:val="left" w:pos="360"/>
        </w:tabs>
        <w:spacing w:before="60"/>
        <w:ind w:left="357"/>
        <w:jc w:val="both"/>
        <w:rPr>
          <w:rFonts w:ascii="Times New Roman" w:hAnsi="Times New Roman" w:cs="Times New Roman"/>
          <w:sz w:val="20"/>
          <w:lang w:val="en-US"/>
        </w:rPr>
      </w:pPr>
      <w:hyperlink r:id="rId28" w:history="1">
        <w:r w:rsidRPr="001B133F">
          <w:rPr>
            <w:rStyle w:val="af"/>
            <w:rFonts w:ascii="Times New Roman" w:hAnsi="Times New Roman" w:cs="Times New Roman"/>
            <w:sz w:val="20"/>
            <w:lang w:val="en-US"/>
          </w:rPr>
          <w:t>http://www3.weforum.org/docs/WEF_GlobalEnergyArchitecture_2015.pdf</w:t>
        </w:r>
      </w:hyperlink>
    </w:p>
    <w:p w:rsidR="0007035E" w:rsidRPr="001B133F" w:rsidRDefault="00F27A87" w:rsidP="001B133F">
      <w:pPr>
        <w:numPr>
          <w:ilvl w:val="0"/>
          <w:numId w:val="1"/>
        </w:numPr>
        <w:tabs>
          <w:tab w:val="left" w:pos="360"/>
        </w:tabs>
        <w:spacing w:before="60"/>
        <w:ind w:left="357" w:hanging="357"/>
        <w:jc w:val="both"/>
        <w:rPr>
          <w:rFonts w:ascii="Times New Roman" w:hAnsi="Times New Roman" w:cs="Times New Roman"/>
          <w:sz w:val="20"/>
          <w:lang w:val="en-US"/>
        </w:rPr>
      </w:pPr>
      <w:r w:rsidRPr="001B133F">
        <w:rPr>
          <w:rFonts w:ascii="Times New Roman" w:hAnsi="Times New Roman" w:cs="Times New Roman"/>
          <w:sz w:val="20"/>
          <w:lang w:val="en-GB"/>
        </w:rPr>
        <w:t>Global</w:t>
      </w:r>
      <w:r w:rsidRPr="001B133F">
        <w:rPr>
          <w:rFonts w:ascii="Times New Roman" w:hAnsi="Times New Roman" w:cs="Times New Roman"/>
          <w:sz w:val="20"/>
          <w:lang w:val="en-US"/>
        </w:rPr>
        <w:t xml:space="preserve"> Energy Architecture Performance Index Report 2016,</w:t>
      </w:r>
    </w:p>
    <w:p w:rsidR="00F27A87" w:rsidRPr="001B133F" w:rsidRDefault="00F27A87" w:rsidP="001B133F">
      <w:pPr>
        <w:tabs>
          <w:tab w:val="left" w:pos="360"/>
        </w:tabs>
        <w:spacing w:before="60"/>
        <w:ind w:left="357"/>
        <w:jc w:val="both"/>
        <w:rPr>
          <w:rFonts w:ascii="Times New Roman" w:hAnsi="Times New Roman" w:cs="Times New Roman"/>
          <w:sz w:val="20"/>
          <w:lang w:val="en-US"/>
        </w:rPr>
      </w:pPr>
      <w:hyperlink r:id="rId29" w:history="1">
        <w:r w:rsidRPr="001B133F">
          <w:rPr>
            <w:rStyle w:val="af"/>
            <w:rFonts w:ascii="Times New Roman" w:hAnsi="Times New Roman" w:cs="Times New Roman"/>
            <w:sz w:val="20"/>
            <w:lang w:val="en-US"/>
          </w:rPr>
          <w:t>https://www.weforum.org/reports/global-energy-architecture-performance-index-report-2016</w:t>
        </w:r>
      </w:hyperlink>
    </w:p>
    <w:p w:rsidR="0007035E" w:rsidRPr="001B133F" w:rsidRDefault="00F27A87" w:rsidP="001B133F">
      <w:pPr>
        <w:numPr>
          <w:ilvl w:val="0"/>
          <w:numId w:val="1"/>
        </w:numPr>
        <w:tabs>
          <w:tab w:val="left" w:pos="360"/>
        </w:tabs>
        <w:spacing w:before="60"/>
        <w:ind w:left="357" w:hanging="357"/>
        <w:jc w:val="both"/>
        <w:rPr>
          <w:rFonts w:ascii="Times New Roman" w:hAnsi="Times New Roman" w:cs="Times New Roman"/>
          <w:sz w:val="20"/>
          <w:lang w:val="en-US"/>
        </w:rPr>
      </w:pPr>
      <w:r w:rsidRPr="001B133F">
        <w:rPr>
          <w:rFonts w:ascii="Times New Roman" w:hAnsi="Times New Roman" w:cs="Times New Roman"/>
          <w:sz w:val="20"/>
          <w:lang w:val="en-GB"/>
        </w:rPr>
        <w:t>Global</w:t>
      </w:r>
      <w:r w:rsidRPr="001B133F">
        <w:rPr>
          <w:rFonts w:ascii="Times New Roman" w:hAnsi="Times New Roman" w:cs="Times New Roman"/>
          <w:sz w:val="20"/>
          <w:lang w:val="en-US"/>
        </w:rPr>
        <w:t xml:space="preserve"> Energy Architecture Performance Index Report 2017,</w:t>
      </w:r>
    </w:p>
    <w:p w:rsidR="00F27A87" w:rsidRPr="001B133F" w:rsidRDefault="00F27A87" w:rsidP="001B133F">
      <w:pPr>
        <w:tabs>
          <w:tab w:val="left" w:pos="360"/>
        </w:tabs>
        <w:spacing w:before="60"/>
        <w:ind w:left="357"/>
        <w:jc w:val="both"/>
        <w:rPr>
          <w:rFonts w:ascii="Times New Roman" w:hAnsi="Times New Roman" w:cs="Times New Roman"/>
          <w:sz w:val="20"/>
          <w:lang w:val="en-US"/>
        </w:rPr>
      </w:pPr>
      <w:hyperlink r:id="rId30" w:history="1">
        <w:r w:rsidRPr="001B133F">
          <w:rPr>
            <w:rStyle w:val="af"/>
            <w:rFonts w:ascii="Times New Roman" w:hAnsi="Times New Roman" w:cs="Times New Roman"/>
            <w:sz w:val="20"/>
            <w:lang w:val="en-US"/>
          </w:rPr>
          <w:t>https://www.weforum.org/reports/global-energy-architecture-performance-index-report-2017</w:t>
        </w:r>
      </w:hyperlink>
    </w:p>
    <w:p w:rsidR="00950FD4" w:rsidRPr="001B133F" w:rsidRDefault="00950FD4" w:rsidP="001B133F">
      <w:pPr>
        <w:numPr>
          <w:ilvl w:val="0"/>
          <w:numId w:val="1"/>
        </w:numPr>
        <w:tabs>
          <w:tab w:val="left" w:pos="360"/>
        </w:tabs>
        <w:spacing w:before="60"/>
        <w:ind w:left="357" w:hanging="357"/>
        <w:jc w:val="both"/>
        <w:rPr>
          <w:rFonts w:ascii="Times New Roman" w:hAnsi="Times New Roman" w:cs="Times New Roman"/>
          <w:color w:val="000000"/>
          <w:sz w:val="20"/>
          <w:lang w:val="en-US"/>
        </w:rPr>
      </w:pPr>
      <w:r w:rsidRPr="001B133F">
        <w:rPr>
          <w:rStyle w:val="A10"/>
          <w:rFonts w:ascii="Times New Roman" w:hAnsi="Times New Roman" w:cs="Times New Roman"/>
          <w:sz w:val="20"/>
          <w:szCs w:val="20"/>
        </w:rPr>
        <w:t xml:space="preserve">Fostering Effective Energy Transition </w:t>
      </w:r>
      <w:r w:rsidRPr="001B133F">
        <w:rPr>
          <w:rStyle w:val="A10"/>
          <w:rFonts w:ascii="Times New Roman" w:hAnsi="Times New Roman" w:cs="Times New Roman"/>
          <w:sz w:val="20"/>
          <w:szCs w:val="20"/>
          <w:lang w:val="en-US"/>
        </w:rPr>
        <w:t>A Fact-Based Framework to Support Decision-Making</w:t>
      </w:r>
      <w:r w:rsidRPr="001B133F">
        <w:rPr>
          <w:rStyle w:val="A10"/>
          <w:rFonts w:ascii="Times New Roman" w:hAnsi="Times New Roman" w:cs="Times New Roman"/>
          <w:sz w:val="20"/>
          <w:szCs w:val="20"/>
        </w:rPr>
        <w:t xml:space="preserve">, </w:t>
      </w:r>
      <w:hyperlink r:id="rId31" w:history="1">
        <w:r w:rsidRPr="001B133F">
          <w:rPr>
            <w:rStyle w:val="af"/>
            <w:rFonts w:ascii="Times New Roman" w:hAnsi="Times New Roman" w:cs="Times New Roman"/>
            <w:sz w:val="20"/>
          </w:rPr>
          <w:t>http://www3.weforum.org/docs/WEF_Fostering_Effective_Energy_Transition_report_2018.pdf</w:t>
        </w:r>
      </w:hyperlink>
    </w:p>
    <w:p w:rsidR="003D1F80" w:rsidRPr="001B133F" w:rsidRDefault="003D1F80" w:rsidP="001B133F">
      <w:pPr>
        <w:numPr>
          <w:ilvl w:val="0"/>
          <w:numId w:val="1"/>
        </w:numPr>
        <w:tabs>
          <w:tab w:val="left" w:pos="360"/>
        </w:tabs>
        <w:spacing w:before="60"/>
        <w:ind w:left="357" w:hanging="357"/>
        <w:jc w:val="both"/>
        <w:rPr>
          <w:rFonts w:ascii="Times New Roman" w:hAnsi="Times New Roman" w:cs="Times New Roman"/>
          <w:color w:val="000000"/>
          <w:sz w:val="20"/>
          <w:lang w:val="en-US"/>
        </w:rPr>
      </w:pPr>
      <w:r w:rsidRPr="001B133F">
        <w:rPr>
          <w:rFonts w:ascii="Times New Roman" w:hAnsi="Times New Roman" w:cs="Times New Roman"/>
          <w:sz w:val="20"/>
          <w:lang w:val="en-GB"/>
        </w:rPr>
        <w:t>Sustainable</w:t>
      </w:r>
      <w:r w:rsidRPr="001B133F">
        <w:rPr>
          <w:rFonts w:ascii="Times New Roman" w:hAnsi="Times New Roman" w:cs="Times New Roman"/>
          <w:sz w:val="20"/>
          <w:lang w:val="en-US"/>
        </w:rPr>
        <w:t xml:space="preserve"> development of energy in Azerbaijan: gaps in energy efficiency and ways to eliminate them, </w:t>
      </w:r>
      <w:hyperlink r:id="rId32" w:history="1">
        <w:r w:rsidRPr="001B133F">
          <w:rPr>
            <w:rStyle w:val="af"/>
            <w:rFonts w:ascii="Times New Roman" w:hAnsi="Times New Roman" w:cs="Times New Roman"/>
            <w:sz w:val="20"/>
            <w:lang w:val="en-US"/>
          </w:rPr>
          <w:t>https://www.unece.org/fileadmin/DAM/project-monitoring/unda/16_17X/A2.1_Implement_Natl_CS/Azerbaijan_SE_e.pdf</w:t>
        </w:r>
      </w:hyperlink>
    </w:p>
    <w:p w:rsidR="00961A24" w:rsidRPr="001B133F" w:rsidRDefault="00961A24" w:rsidP="001B133F">
      <w:pPr>
        <w:numPr>
          <w:ilvl w:val="0"/>
          <w:numId w:val="1"/>
        </w:numPr>
        <w:tabs>
          <w:tab w:val="left" w:pos="360"/>
        </w:tabs>
        <w:spacing w:before="60"/>
        <w:ind w:left="357" w:hanging="357"/>
        <w:jc w:val="both"/>
        <w:rPr>
          <w:rFonts w:ascii="Times New Roman" w:hAnsi="Times New Roman" w:cs="Times New Roman"/>
          <w:sz w:val="20"/>
          <w:lang w:val="en-US"/>
        </w:rPr>
      </w:pPr>
      <w:r w:rsidRPr="001B133F">
        <w:rPr>
          <w:rFonts w:ascii="Times New Roman" w:hAnsi="Times New Roman" w:cs="Times New Roman"/>
          <w:sz w:val="20"/>
          <w:lang w:val="en-US"/>
        </w:rPr>
        <w:t xml:space="preserve">Azerbaijan Competitiveness Index, </w:t>
      </w:r>
      <w:hyperlink r:id="rId33" w:history="1">
        <w:r w:rsidRPr="001B133F">
          <w:rPr>
            <w:rStyle w:val="af"/>
            <w:rFonts w:ascii="Times New Roman" w:hAnsi="Times New Roman" w:cs="Times New Roman"/>
            <w:sz w:val="20"/>
            <w:lang w:val="en-US"/>
          </w:rPr>
          <w:t>https://tradingeconomics.com/azerbaijan/competitiveness-index</w:t>
        </w:r>
      </w:hyperlink>
      <w:r w:rsidR="003D1F80" w:rsidRPr="001B133F">
        <w:rPr>
          <w:rFonts w:ascii="Times New Roman" w:hAnsi="Times New Roman" w:cs="Times New Roman"/>
          <w:sz w:val="20"/>
        </w:rPr>
        <w:t xml:space="preserve"> </w:t>
      </w:r>
    </w:p>
    <w:p w:rsidR="00BE10F3" w:rsidRPr="001B133F" w:rsidRDefault="008F0F39" w:rsidP="001B133F">
      <w:pPr>
        <w:numPr>
          <w:ilvl w:val="0"/>
          <w:numId w:val="1"/>
        </w:numPr>
        <w:tabs>
          <w:tab w:val="left" w:pos="360"/>
        </w:tabs>
        <w:spacing w:before="60"/>
        <w:ind w:left="357" w:hanging="357"/>
        <w:jc w:val="both"/>
        <w:rPr>
          <w:rFonts w:ascii="Times New Roman" w:hAnsi="Times New Roman" w:cs="Times New Roman"/>
          <w:b/>
          <w:sz w:val="20"/>
          <w:lang w:val="en-US"/>
        </w:rPr>
      </w:pPr>
      <w:r w:rsidRPr="001B133F">
        <w:rPr>
          <w:rFonts w:ascii="Times New Roman" w:hAnsi="Times New Roman" w:cs="Times New Roman"/>
          <w:sz w:val="20"/>
          <w:lang w:val="en-GB"/>
        </w:rPr>
        <w:t>Energy</w:t>
      </w:r>
      <w:r w:rsidRPr="001B133F">
        <w:rPr>
          <w:rStyle w:val="economy-summaryindex"/>
          <w:rFonts w:ascii="Times New Roman" w:hAnsi="Times New Roman" w:cs="Times New Roman"/>
          <w:bCs/>
          <w:color w:val="333333"/>
          <w:sz w:val="20"/>
          <w:lang w:val="en-US"/>
        </w:rPr>
        <w:t xml:space="preserve"> Architecture Performance Index </w:t>
      </w:r>
      <w:r w:rsidRPr="001B133F">
        <w:rPr>
          <w:rStyle w:val="economy-summaryedition"/>
          <w:rFonts w:ascii="Times New Roman" w:hAnsi="Times New Roman" w:cs="Times New Roman"/>
          <w:bCs/>
          <w:color w:val="333333"/>
          <w:sz w:val="20"/>
          <w:lang w:val="en-US"/>
        </w:rPr>
        <w:t>2017, Azerbaijan,</w:t>
      </w:r>
      <w:r w:rsidRPr="001B133F">
        <w:rPr>
          <w:rStyle w:val="economy-summaryedition"/>
          <w:rFonts w:ascii="Times New Roman" w:hAnsi="Times New Roman" w:cs="Times New Roman"/>
          <w:b/>
          <w:bCs/>
          <w:color w:val="333333"/>
          <w:sz w:val="20"/>
          <w:lang w:val="en-US"/>
        </w:rPr>
        <w:t xml:space="preserve"> </w:t>
      </w:r>
      <w:hyperlink r:id="rId34" w:anchor="economy=AZE" w:history="1">
        <w:r w:rsidRPr="001B133F">
          <w:rPr>
            <w:rStyle w:val="af"/>
            <w:rFonts w:ascii="Times New Roman" w:hAnsi="Times New Roman" w:cs="Times New Roman"/>
            <w:sz w:val="20"/>
            <w:lang w:val="en-US"/>
          </w:rPr>
          <w:t>https://reports.weforum.org/global-energy-architecture-performance-index-2017/economies/?doing_wp_cron=1592298303.4468669891357421875000#economy=AZE</w:t>
        </w:r>
      </w:hyperlink>
    </w:p>
    <w:p w:rsidR="001F2A3C" w:rsidRPr="001B133F" w:rsidRDefault="001F2A3C" w:rsidP="001B133F">
      <w:pPr>
        <w:numPr>
          <w:ilvl w:val="0"/>
          <w:numId w:val="1"/>
        </w:numPr>
        <w:tabs>
          <w:tab w:val="left" w:pos="360"/>
        </w:tabs>
        <w:spacing w:before="60"/>
        <w:ind w:left="357" w:hanging="357"/>
        <w:jc w:val="both"/>
        <w:rPr>
          <w:rFonts w:ascii="Times New Roman" w:hAnsi="Times New Roman" w:cs="Times New Roman"/>
          <w:sz w:val="20"/>
          <w:lang w:val="en-GB"/>
        </w:rPr>
      </w:pPr>
      <w:r w:rsidRPr="001B133F">
        <w:rPr>
          <w:rFonts w:ascii="Times New Roman" w:hAnsi="Times New Roman" w:cs="Times New Roman"/>
          <w:color w:val="000000"/>
          <w:sz w:val="20"/>
          <w:lang w:val="en-US"/>
        </w:rPr>
        <w:t>Materials of State Statistical Committee of Azerbaijan Republic</w:t>
      </w:r>
      <w:r w:rsidR="00260B89" w:rsidRPr="001B133F">
        <w:rPr>
          <w:rFonts w:ascii="Times New Roman" w:hAnsi="Times New Roman" w:cs="Times New Roman"/>
          <w:color w:val="000000"/>
          <w:sz w:val="20"/>
          <w:lang w:val="en-US"/>
        </w:rPr>
        <w:t>,</w:t>
      </w:r>
      <w:r w:rsidRPr="001B133F">
        <w:rPr>
          <w:rFonts w:ascii="Times New Roman" w:hAnsi="Times New Roman" w:cs="Times New Roman"/>
          <w:color w:val="000000"/>
          <w:sz w:val="20"/>
          <w:lang w:val="en-US"/>
        </w:rPr>
        <w:t xml:space="preserve"> </w:t>
      </w:r>
      <w:hyperlink r:id="rId35">
        <w:r w:rsidRPr="001B133F">
          <w:rPr>
            <w:rFonts w:ascii="Times New Roman" w:hAnsi="Times New Roman" w:cs="Times New Roman"/>
            <w:sz w:val="20"/>
          </w:rPr>
          <w:t xml:space="preserve"> </w:t>
        </w:r>
        <w:hyperlink r:id="rId36" w:history="1">
          <w:r w:rsidRPr="001B133F">
            <w:rPr>
              <w:rStyle w:val="af"/>
              <w:rFonts w:ascii="Times New Roman" w:hAnsi="Times New Roman" w:cs="Times New Roman"/>
              <w:sz w:val="20"/>
            </w:rPr>
            <w:t>https://www.stat.gov.az/</w:t>
          </w:r>
        </w:hyperlink>
        <w:r w:rsidRPr="001B133F">
          <w:rPr>
            <w:rFonts w:ascii="Times New Roman" w:hAnsi="Times New Roman" w:cs="Times New Roman"/>
            <w:color w:val="000000"/>
            <w:sz w:val="20"/>
            <w:lang w:val="en-US"/>
          </w:rPr>
          <w:t xml:space="preserve"> </w:t>
        </w:r>
      </w:hyperlink>
    </w:p>
    <w:p w:rsidR="001F2A3C" w:rsidRPr="001B133F" w:rsidRDefault="001F2A3C" w:rsidP="001B133F">
      <w:pPr>
        <w:numPr>
          <w:ilvl w:val="0"/>
          <w:numId w:val="1"/>
        </w:numPr>
        <w:tabs>
          <w:tab w:val="left" w:pos="340"/>
        </w:tabs>
        <w:spacing w:before="60"/>
        <w:ind w:left="357" w:hanging="357"/>
        <w:jc w:val="both"/>
        <w:rPr>
          <w:rFonts w:ascii="Times New Roman" w:eastAsiaTheme="minorHAnsi" w:hAnsi="Times New Roman" w:cs="Times New Roman"/>
          <w:sz w:val="20"/>
          <w:lang w:val="en-US" w:eastAsia="en-US"/>
        </w:rPr>
      </w:pPr>
      <w:r w:rsidRPr="001B133F">
        <w:rPr>
          <w:rFonts w:ascii="Times New Roman" w:eastAsiaTheme="minorHAnsi" w:hAnsi="Times New Roman" w:cs="Times New Roman"/>
          <w:sz w:val="20"/>
          <w:lang w:val="en-US" w:eastAsia="en-US"/>
        </w:rPr>
        <w:t>BP Statistical Review of  World Energy 2019</w:t>
      </w:r>
      <w:r w:rsidR="00260B89" w:rsidRPr="001B133F">
        <w:rPr>
          <w:rFonts w:ascii="Times New Roman" w:eastAsiaTheme="minorHAnsi" w:hAnsi="Times New Roman" w:cs="Times New Roman"/>
          <w:sz w:val="20"/>
          <w:lang w:val="en-US" w:eastAsia="en-US"/>
        </w:rPr>
        <w:t>,</w:t>
      </w:r>
      <w:r w:rsidRPr="001B133F">
        <w:rPr>
          <w:rFonts w:ascii="Times New Roman" w:eastAsiaTheme="minorHAnsi" w:hAnsi="Times New Roman" w:cs="Times New Roman"/>
          <w:sz w:val="20"/>
          <w:lang w:val="en-US" w:eastAsia="en-US"/>
        </w:rPr>
        <w:t xml:space="preserve"> </w:t>
      </w:r>
      <w:hyperlink r:id="rId37" w:history="1">
        <w:r w:rsidRPr="001B133F">
          <w:rPr>
            <w:rStyle w:val="af"/>
            <w:rFonts w:ascii="Times New Roman" w:hAnsi="Times New Roman" w:cs="Times New Roman"/>
            <w:sz w:val="20"/>
          </w:rPr>
          <w:t>https://www.bp.com/content/dam/bp/business-sites/en/global/corporate/pdfs/energy-economics/statistical-review/bp-stats-review-2019-full-report.pdf</w:t>
        </w:r>
      </w:hyperlink>
    </w:p>
    <w:p w:rsidR="001F2A3C" w:rsidRPr="001B133F" w:rsidRDefault="001F2A3C" w:rsidP="001B133F">
      <w:pPr>
        <w:numPr>
          <w:ilvl w:val="0"/>
          <w:numId w:val="1"/>
        </w:numPr>
        <w:tabs>
          <w:tab w:val="left" w:pos="340"/>
        </w:tabs>
        <w:spacing w:before="60"/>
        <w:ind w:left="357" w:hanging="357"/>
        <w:jc w:val="both"/>
        <w:rPr>
          <w:rFonts w:ascii="Times New Roman" w:eastAsiaTheme="minorHAnsi" w:hAnsi="Times New Roman" w:cs="Times New Roman"/>
          <w:sz w:val="20"/>
          <w:lang w:val="en-US" w:eastAsia="en-US"/>
        </w:rPr>
      </w:pPr>
      <w:r w:rsidRPr="001B133F">
        <w:rPr>
          <w:rFonts w:ascii="Times New Roman" w:eastAsiaTheme="minorHAnsi" w:hAnsi="Times New Roman" w:cs="Times New Roman"/>
          <w:sz w:val="20"/>
          <w:lang w:val="en-US" w:eastAsia="en-US"/>
        </w:rPr>
        <w:t>World Energy Outlook 2018</w:t>
      </w:r>
      <w:r w:rsidR="00260B89" w:rsidRPr="001B133F">
        <w:rPr>
          <w:rFonts w:ascii="Times New Roman" w:eastAsiaTheme="minorHAnsi" w:hAnsi="Times New Roman" w:cs="Times New Roman"/>
          <w:sz w:val="20"/>
          <w:lang w:val="en-US" w:eastAsia="en-US"/>
        </w:rPr>
        <w:t>,</w:t>
      </w:r>
    </w:p>
    <w:p w:rsidR="001F2A3C" w:rsidRPr="001B133F" w:rsidRDefault="001F2A3C" w:rsidP="001B133F">
      <w:pPr>
        <w:tabs>
          <w:tab w:val="left" w:pos="360"/>
        </w:tabs>
        <w:spacing w:before="60"/>
        <w:ind w:left="357"/>
        <w:jc w:val="both"/>
        <w:rPr>
          <w:rFonts w:ascii="Times New Roman" w:hAnsi="Times New Roman" w:cs="Times New Roman"/>
          <w:sz w:val="20"/>
        </w:rPr>
      </w:pPr>
      <w:hyperlink r:id="rId38" w:history="1">
        <w:r w:rsidRPr="001B133F">
          <w:rPr>
            <w:rStyle w:val="af"/>
            <w:rFonts w:ascii="Times New Roman" w:hAnsi="Times New Roman" w:cs="Times New Roman"/>
            <w:sz w:val="20"/>
          </w:rPr>
          <w:t>https://www.iea.org/reports/world-energy-outlook-2018</w:t>
        </w:r>
      </w:hyperlink>
    </w:p>
    <w:p w:rsidR="00503952" w:rsidRPr="001B133F" w:rsidRDefault="00503952" w:rsidP="001B133F">
      <w:pPr>
        <w:numPr>
          <w:ilvl w:val="0"/>
          <w:numId w:val="1"/>
        </w:numPr>
        <w:tabs>
          <w:tab w:val="left" w:pos="360"/>
        </w:tabs>
        <w:spacing w:before="60"/>
        <w:ind w:left="357" w:hanging="357"/>
        <w:jc w:val="both"/>
        <w:rPr>
          <w:rFonts w:ascii="Times New Roman" w:hAnsi="Times New Roman" w:cs="Times New Roman"/>
          <w:sz w:val="20"/>
          <w:lang w:eastAsia="ru-RU"/>
        </w:rPr>
      </w:pPr>
      <w:r w:rsidRPr="001B133F">
        <w:rPr>
          <w:rFonts w:ascii="Times New Roman" w:hAnsi="Times New Roman" w:cs="Times New Roman"/>
          <w:sz w:val="20"/>
          <w:lang w:val="en-US"/>
        </w:rPr>
        <w:t>BP</w:t>
      </w:r>
      <w:r w:rsidRPr="001B133F">
        <w:rPr>
          <w:rStyle w:val="A80"/>
          <w:rFonts w:ascii="Times New Roman" w:hAnsi="Times New Roman" w:cs="Times New Roman"/>
          <w:sz w:val="20"/>
          <w:szCs w:val="20"/>
        </w:rPr>
        <w:t>. Energy demand by re</w:t>
      </w:r>
      <w:r w:rsidR="005614BA" w:rsidRPr="001B133F">
        <w:rPr>
          <w:rStyle w:val="A80"/>
          <w:rFonts w:ascii="Times New Roman" w:hAnsi="Times New Roman" w:cs="Times New Roman"/>
          <w:sz w:val="20"/>
          <w:szCs w:val="20"/>
        </w:rPr>
        <w:t>gion</w:t>
      </w:r>
      <w:r w:rsidR="00260B89" w:rsidRPr="001B133F">
        <w:rPr>
          <w:rStyle w:val="A80"/>
          <w:rFonts w:ascii="Times New Roman" w:hAnsi="Times New Roman" w:cs="Times New Roman"/>
          <w:sz w:val="20"/>
          <w:szCs w:val="20"/>
        </w:rPr>
        <w:t>,</w:t>
      </w:r>
      <w:r w:rsidR="005614BA" w:rsidRPr="001B133F">
        <w:rPr>
          <w:rStyle w:val="A80"/>
          <w:rFonts w:ascii="Times New Roman" w:hAnsi="Times New Roman" w:cs="Times New Roman"/>
          <w:sz w:val="20"/>
          <w:szCs w:val="20"/>
        </w:rPr>
        <w:t xml:space="preserve"> </w:t>
      </w:r>
      <w:hyperlink r:id="rId39" w:history="1">
        <w:r w:rsidR="005614BA" w:rsidRPr="001B133F">
          <w:rPr>
            <w:rStyle w:val="af"/>
            <w:rFonts w:ascii="Times New Roman" w:hAnsi="Times New Roman" w:cs="Times New Roman"/>
            <w:sz w:val="20"/>
          </w:rPr>
          <w:t>https://www.bp.com/en/global/corporate/energy-economics/energy-outlook/demand-by-region.html</w:t>
        </w:r>
      </w:hyperlink>
    </w:p>
    <w:p w:rsidR="005614BA" w:rsidRPr="001B133F" w:rsidRDefault="005614BA" w:rsidP="001B133F">
      <w:pPr>
        <w:numPr>
          <w:ilvl w:val="0"/>
          <w:numId w:val="1"/>
        </w:numPr>
        <w:tabs>
          <w:tab w:val="left" w:pos="360"/>
        </w:tabs>
        <w:spacing w:before="60"/>
        <w:ind w:left="357" w:hanging="357"/>
        <w:jc w:val="both"/>
        <w:rPr>
          <w:rFonts w:ascii="Times New Roman" w:hAnsi="Times New Roman" w:cs="Times New Roman"/>
          <w:sz w:val="20"/>
          <w:lang w:eastAsia="ru-RU"/>
        </w:rPr>
      </w:pPr>
      <w:r w:rsidRPr="001B133F">
        <w:rPr>
          <w:rFonts w:ascii="Times New Roman" w:hAnsi="Times New Roman" w:cs="Times New Roman"/>
          <w:sz w:val="20"/>
        </w:rPr>
        <w:t>Global energy review 2020,</w:t>
      </w:r>
    </w:p>
    <w:p w:rsidR="006C4912" w:rsidRPr="001B133F" w:rsidRDefault="005614BA" w:rsidP="001B133F">
      <w:pPr>
        <w:tabs>
          <w:tab w:val="left" w:pos="360"/>
        </w:tabs>
        <w:spacing w:before="60"/>
        <w:ind w:left="357"/>
        <w:jc w:val="both"/>
        <w:rPr>
          <w:rFonts w:ascii="Times New Roman" w:hAnsi="Times New Roman" w:cs="Times New Roman"/>
          <w:sz w:val="20"/>
        </w:rPr>
      </w:pPr>
      <w:hyperlink r:id="rId40" w:history="1">
        <w:r w:rsidRPr="001B133F">
          <w:rPr>
            <w:rStyle w:val="af"/>
            <w:rFonts w:ascii="Times New Roman" w:hAnsi="Times New Roman" w:cs="Times New Roman"/>
            <w:sz w:val="20"/>
          </w:rPr>
          <w:t>https://www.iea.org/reports/global-energy-review-2020</w:t>
        </w:r>
      </w:hyperlink>
    </w:p>
    <w:p w:rsidR="006C4912" w:rsidRPr="006C4912" w:rsidRDefault="006C4912" w:rsidP="001B133F">
      <w:pPr>
        <w:numPr>
          <w:ilvl w:val="0"/>
          <w:numId w:val="1"/>
        </w:numPr>
        <w:tabs>
          <w:tab w:val="left" w:pos="360"/>
        </w:tabs>
        <w:spacing w:before="60"/>
        <w:ind w:left="357" w:hanging="357"/>
        <w:jc w:val="both"/>
        <w:rPr>
          <w:rFonts w:ascii="Times New Roman" w:hAnsi="Times New Roman" w:cs="Times New Roman"/>
          <w:sz w:val="20"/>
        </w:rPr>
      </w:pPr>
      <w:r w:rsidRPr="001B133F">
        <w:rPr>
          <w:rFonts w:ascii="Times New Roman" w:hAnsi="Times New Roman" w:cs="Times New Roman"/>
          <w:sz w:val="20"/>
          <w:lang w:val="en-US"/>
        </w:rPr>
        <w:t xml:space="preserve">N.A. Yusifbayli, V.Kh. Nasibov </w:t>
      </w:r>
      <w:r w:rsidRPr="001B133F">
        <w:rPr>
          <w:rFonts w:ascii="Times New Roman" w:hAnsi="Times New Roman" w:cs="Times New Roman"/>
          <w:sz w:val="20"/>
        </w:rPr>
        <w:t>Determination</w:t>
      </w:r>
      <w:r w:rsidRPr="001B133F">
        <w:rPr>
          <w:rFonts w:ascii="Times New Roman" w:hAnsi="Times New Roman" w:cs="Times New Roman"/>
          <w:sz w:val="20"/>
          <w:lang w:val="en-US"/>
        </w:rPr>
        <w:t xml:space="preserve"> of the Energy Architecture Performance Index of Azerbaijan,</w:t>
      </w:r>
      <w:r w:rsidRPr="001B133F">
        <w:rPr>
          <w:rFonts w:ascii="Times New Roman" w:hAnsi="Times New Roman" w:cs="Times New Roman"/>
          <w:sz w:val="20"/>
        </w:rPr>
        <w:t xml:space="preserve"> M</w:t>
      </w:r>
      <w:r w:rsidRPr="001B133F">
        <w:rPr>
          <w:rFonts w:ascii="Times New Roman" w:hAnsi="Times New Roman" w:cs="Times New Roman"/>
          <w:sz w:val="20"/>
          <w:lang w:val="en-US"/>
        </w:rPr>
        <w:t>ethodological problems in reliability study of large energy systems, Issue 65,</w:t>
      </w:r>
      <w:r w:rsidRPr="001B133F">
        <w:rPr>
          <w:rFonts w:ascii="Times New Roman" w:hAnsi="Times New Roman" w:cs="Times New Roman"/>
          <w:sz w:val="20"/>
        </w:rPr>
        <w:t xml:space="preserve"> </w:t>
      </w:r>
      <w:r w:rsidRPr="001B133F">
        <w:rPr>
          <w:rFonts w:ascii="Times New Roman" w:hAnsi="Times New Roman" w:cs="Times New Roman"/>
          <w:sz w:val="20"/>
          <w:lang w:val="en-US"/>
        </w:rPr>
        <w:t>Reliability of liberalized</w:t>
      </w:r>
      <w:r w:rsidRPr="006C4912">
        <w:rPr>
          <w:rFonts w:ascii="Times New Roman" w:hAnsi="Times New Roman" w:cs="Times New Roman"/>
          <w:sz w:val="20"/>
          <w:lang w:val="en-US"/>
        </w:rPr>
        <w:t xml:space="preserve"> energy systems</w:t>
      </w:r>
      <w:r w:rsidR="008C54C2">
        <w:rPr>
          <w:rFonts w:ascii="Times New Roman" w:hAnsi="Times New Roman" w:cs="Times New Roman"/>
          <w:sz w:val="20"/>
          <w:lang w:val="en-US"/>
        </w:rPr>
        <w:t>, pp. 446-456</w:t>
      </w:r>
      <w:r w:rsidR="00260B89">
        <w:rPr>
          <w:rFonts w:ascii="Times New Roman" w:hAnsi="Times New Roman" w:cs="Times New Roman"/>
          <w:sz w:val="20"/>
          <w:lang w:val="en-US"/>
        </w:rPr>
        <w:t>.</w:t>
      </w:r>
    </w:p>
    <w:p w:rsidR="008F0F39" w:rsidRPr="005614BA" w:rsidRDefault="008F0F39" w:rsidP="008F0F39">
      <w:pPr>
        <w:rPr>
          <w:rFonts w:ascii="Times New Roman" w:hAnsi="Times New Roman" w:cs="Times New Roman"/>
          <w:sz w:val="20"/>
          <w:lang w:eastAsia="ru-RU"/>
        </w:rPr>
      </w:pPr>
    </w:p>
    <w:sectPr w:rsidR="008F0F39" w:rsidRPr="005614BA" w:rsidSect="00910555">
      <w:headerReference w:type="even" r:id="rId41"/>
      <w:headerReference w:type="default" r:id="rId42"/>
      <w:headerReference w:type="first" r:id="rId43"/>
      <w:footnotePr>
        <w:pos w:val="beneathText"/>
        <w:numFmt w:val="lowerLetter"/>
      </w:footnotePr>
      <w:type w:val="continuous"/>
      <w:pgSz w:w="11905" w:h="16837" w:code="9"/>
      <w:pgMar w:top="1418" w:right="1134" w:bottom="1134" w:left="1134" w:header="680" w:footer="680" w:gutter="0"/>
      <w:cols w:num="2" w:space="45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264" w:rsidRDefault="000B0264">
      <w:r>
        <w:separator/>
      </w:r>
    </w:p>
  </w:endnote>
  <w:endnote w:type="continuationSeparator" w:id="1">
    <w:p w:rsidR="000B0264" w:rsidRDefault="000B0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itstream Vera Sans">
    <w:charset w:val="00"/>
    <w:family w:val="auto"/>
    <w:pitch w:val="variable"/>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HelveticaNeueLT Pro 65 Md">
    <w:altName w:val="HelveticaNeueLT Pro 65 M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AB7" w:rsidRPr="003965B9" w:rsidRDefault="00D027E5">
    <w:pPr>
      <w:pStyle w:val="a8"/>
      <w:rPr>
        <w:rFonts w:ascii="Times New Roman" w:hAnsi="Times New Roman" w:cs="Times New Roman"/>
        <w:sz w:val="18"/>
        <w:szCs w:val="18"/>
        <w:lang w:val="en-US"/>
      </w:rPr>
    </w:pPr>
    <w:r w:rsidRPr="00D027E5">
      <w:rPr>
        <w:noProof/>
        <w:vertAlign w:val="superscript"/>
        <w:lang w:eastAsia="fr-FR"/>
      </w:rPr>
      <w:pict>
        <v:shapetype id="_x0000_t32" coordsize="21600,21600" o:spt="32" o:oned="t" path="m,l21600,21600e" filled="f">
          <v:path arrowok="t" fillok="f" o:connecttype="none"/>
          <o:lock v:ext="edit" shapetype="t"/>
        </v:shapetype>
        <v:shape id="_x0000_s2049" type="#_x0000_t32" style="position:absolute;margin-left:-.05pt;margin-top:-1.05pt;width:141.75pt;height:0;z-index:251657728" o:connectortype="straight"/>
      </w:pict>
    </w:r>
    <w:r w:rsidR="00FB04B9">
      <w:rPr>
        <w:rFonts w:ascii="Times New Roman" w:hAnsi="Times New Roman" w:cs="Times New Roman"/>
        <w:vertAlign w:val="superscript"/>
        <w:lang w:val="en-US"/>
      </w:rPr>
      <w:t>*</w:t>
    </w:r>
    <w:r w:rsidR="00754AB7" w:rsidRPr="003965B9">
      <w:rPr>
        <w:sz w:val="18"/>
        <w:szCs w:val="18"/>
        <w:lang w:val="en-US"/>
      </w:rPr>
      <w:t xml:space="preserve"> </w:t>
    </w:r>
    <w:r w:rsidR="001577BF" w:rsidRPr="003965B9">
      <w:rPr>
        <w:rFonts w:ascii="Times New Roman" w:hAnsi="Times New Roman" w:cs="Times New Roman"/>
        <w:sz w:val="18"/>
        <w:szCs w:val="18"/>
        <w:lang w:val="en-US"/>
      </w:rPr>
      <w:t>Corresponding author</w:t>
    </w:r>
    <w:r w:rsidR="00754AB7" w:rsidRPr="003965B9">
      <w:rPr>
        <w:rFonts w:ascii="Times New Roman" w:hAnsi="Times New Roman" w:cs="Times New Roman"/>
        <w:sz w:val="18"/>
        <w:szCs w:val="18"/>
        <w:lang w:val="en-US"/>
      </w:rPr>
      <w:t xml:space="preserve">: </w:t>
    </w:r>
    <w:hyperlink r:id="rId1" w:history="1">
      <w:r w:rsidR="003965B9" w:rsidRPr="003965B9">
        <w:rPr>
          <w:rStyle w:val="af"/>
          <w:rFonts w:ascii="Times New Roman" w:hAnsi="Times New Roman" w:cs="Times New Roman"/>
          <w:sz w:val="18"/>
          <w:szCs w:val="18"/>
          <w:lang w:val="en-US"/>
        </w:rPr>
        <w:t>author@e-mail.org</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264" w:rsidRDefault="000B0264">
      <w:r>
        <w:separator/>
      </w:r>
    </w:p>
  </w:footnote>
  <w:footnote w:type="continuationSeparator" w:id="1">
    <w:p w:rsidR="000B0264" w:rsidRDefault="000B02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F8D" w:rsidRDefault="00631F8D">
    <w:pPr>
      <w:pStyle w:val="ab"/>
      <w:jc w:val="center"/>
      <w:rPr>
        <w:rFonts w:ascii="Times New Roman" w:hAnsi="Times New Roman"/>
        <w:sz w:val="20"/>
      </w:rPr>
    </w:pPr>
    <w:r>
      <w:rPr>
        <w:rFonts w:ascii="Times New Roman" w:hAnsi="Times New Roman"/>
        <w:sz w:val="20"/>
      </w:rPr>
      <w:t>The European Physical Journal Conferences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F8D" w:rsidRDefault="00631F8D">
    <w:pPr>
      <w:pStyle w:val="ab"/>
      <w:ind w:right="360"/>
      <w:jc w:val="center"/>
      <w:rPr>
        <w:sz w:val="20"/>
        <w:lang w:val="en-US"/>
      </w:rPr>
    </w:pPr>
    <w:r>
      <w:rPr>
        <w:sz w:val="20"/>
        <w:lang w:val="en-US"/>
      </w:rPr>
      <w:t>Title of the conference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F8D" w:rsidRPr="0099732D" w:rsidRDefault="00631F8D" w:rsidP="0099732D">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F8D" w:rsidRPr="00EE3F6D" w:rsidRDefault="00631F8D" w:rsidP="00EE3F6D">
    <w:pPr>
      <w:pStyle w:val="a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F8D" w:rsidRDefault="00631F8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tabs>
          <w:tab w:val="num" w:pos="720"/>
        </w:tabs>
        <w:ind w:left="72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276771"/>
    <w:multiLevelType w:val="hybridMultilevel"/>
    <w:tmpl w:val="33605D52"/>
    <w:lvl w:ilvl="0" w:tplc="00000001">
      <w:start w:val="1"/>
      <w:numFmt w:val="decimal"/>
      <w:lvlText w:val="%1."/>
      <w:lvlJc w:val="left"/>
      <w:pPr>
        <w:tabs>
          <w:tab w:val="num" w:pos="1077"/>
        </w:tabs>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nsid w:val="56320427"/>
    <w:multiLevelType w:val="hybridMultilevel"/>
    <w:tmpl w:val="FFC0F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1C0DBD"/>
    <w:multiLevelType w:val="hybridMultilevel"/>
    <w:tmpl w:val="5C2467B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stylePaneFormatFilter w:val="3F01"/>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1746"/>
    <o:shapelayout v:ext="edit">
      <o:idmap v:ext="edit" data="2"/>
      <o:rules v:ext="edit">
        <o:r id="V:Rule2" type="connector" idref="#_x0000_s2049"/>
      </o:rules>
    </o:shapelayout>
  </w:hdrShapeDefaults>
  <w:footnotePr>
    <w:pos w:val="beneathText"/>
    <w:numFmt w:val="lowerLetter"/>
    <w:footnote w:id="0"/>
    <w:footnote w:id="1"/>
  </w:footnotePr>
  <w:endnotePr>
    <w:endnote w:id="0"/>
    <w:endnote w:id="1"/>
  </w:endnotePr>
  <w:compat/>
  <w:rsids>
    <w:rsidRoot w:val="00883007"/>
    <w:rsid w:val="00004A82"/>
    <w:rsid w:val="00005447"/>
    <w:rsid w:val="00005768"/>
    <w:rsid w:val="0002247E"/>
    <w:rsid w:val="00026FFE"/>
    <w:rsid w:val="00033CAA"/>
    <w:rsid w:val="00037A8C"/>
    <w:rsid w:val="0004742C"/>
    <w:rsid w:val="00050AC5"/>
    <w:rsid w:val="0005757C"/>
    <w:rsid w:val="000606DE"/>
    <w:rsid w:val="00060F45"/>
    <w:rsid w:val="0007035E"/>
    <w:rsid w:val="0007247E"/>
    <w:rsid w:val="00074DF2"/>
    <w:rsid w:val="00081A1F"/>
    <w:rsid w:val="000837E6"/>
    <w:rsid w:val="000B0264"/>
    <w:rsid w:val="000C4946"/>
    <w:rsid w:val="000D4E89"/>
    <w:rsid w:val="000D6DF1"/>
    <w:rsid w:val="000E4BE9"/>
    <w:rsid w:val="00106CA2"/>
    <w:rsid w:val="00107C21"/>
    <w:rsid w:val="001120ED"/>
    <w:rsid w:val="00114AD8"/>
    <w:rsid w:val="001304BD"/>
    <w:rsid w:val="00130C52"/>
    <w:rsid w:val="00141F09"/>
    <w:rsid w:val="0015075B"/>
    <w:rsid w:val="001577BF"/>
    <w:rsid w:val="001613F7"/>
    <w:rsid w:val="00177411"/>
    <w:rsid w:val="00182368"/>
    <w:rsid w:val="00193646"/>
    <w:rsid w:val="00197FE0"/>
    <w:rsid w:val="001B133F"/>
    <w:rsid w:val="001B3F76"/>
    <w:rsid w:val="001C33B2"/>
    <w:rsid w:val="001D3813"/>
    <w:rsid w:val="001E46A0"/>
    <w:rsid w:val="001F24FC"/>
    <w:rsid w:val="001F2A3C"/>
    <w:rsid w:val="001F4488"/>
    <w:rsid w:val="00202A7E"/>
    <w:rsid w:val="0020333B"/>
    <w:rsid w:val="0021568B"/>
    <w:rsid w:val="00215EB5"/>
    <w:rsid w:val="00216222"/>
    <w:rsid w:val="00216EE1"/>
    <w:rsid w:val="00222C3B"/>
    <w:rsid w:val="00244A76"/>
    <w:rsid w:val="00254788"/>
    <w:rsid w:val="00255467"/>
    <w:rsid w:val="00260B89"/>
    <w:rsid w:val="00262DCA"/>
    <w:rsid w:val="00286967"/>
    <w:rsid w:val="002A2B4F"/>
    <w:rsid w:val="002C7937"/>
    <w:rsid w:val="002D0F6C"/>
    <w:rsid w:val="002D18E4"/>
    <w:rsid w:val="002D2392"/>
    <w:rsid w:val="002F0E98"/>
    <w:rsid w:val="002F4D29"/>
    <w:rsid w:val="002F741D"/>
    <w:rsid w:val="003028AB"/>
    <w:rsid w:val="00312A66"/>
    <w:rsid w:val="0032625D"/>
    <w:rsid w:val="00343453"/>
    <w:rsid w:val="00344AA7"/>
    <w:rsid w:val="00346842"/>
    <w:rsid w:val="0035496C"/>
    <w:rsid w:val="00354FFD"/>
    <w:rsid w:val="00372E4F"/>
    <w:rsid w:val="003745E9"/>
    <w:rsid w:val="00390553"/>
    <w:rsid w:val="0039334C"/>
    <w:rsid w:val="00393CD4"/>
    <w:rsid w:val="00394EA2"/>
    <w:rsid w:val="003965B9"/>
    <w:rsid w:val="003A32D2"/>
    <w:rsid w:val="003B0848"/>
    <w:rsid w:val="003B7BB7"/>
    <w:rsid w:val="003B7DAB"/>
    <w:rsid w:val="003C0B15"/>
    <w:rsid w:val="003C3542"/>
    <w:rsid w:val="003D1F80"/>
    <w:rsid w:val="003D375C"/>
    <w:rsid w:val="003E715C"/>
    <w:rsid w:val="003F4AEF"/>
    <w:rsid w:val="00402C85"/>
    <w:rsid w:val="004065CF"/>
    <w:rsid w:val="00421A29"/>
    <w:rsid w:val="004240A1"/>
    <w:rsid w:val="004307D8"/>
    <w:rsid w:val="00430B71"/>
    <w:rsid w:val="00431748"/>
    <w:rsid w:val="00431FE7"/>
    <w:rsid w:val="00442660"/>
    <w:rsid w:val="004510DF"/>
    <w:rsid w:val="00454F5A"/>
    <w:rsid w:val="00457681"/>
    <w:rsid w:val="00466DCF"/>
    <w:rsid w:val="00466E26"/>
    <w:rsid w:val="00475473"/>
    <w:rsid w:val="00476858"/>
    <w:rsid w:val="00480151"/>
    <w:rsid w:val="004808AF"/>
    <w:rsid w:val="004825B4"/>
    <w:rsid w:val="00496B87"/>
    <w:rsid w:val="004A1B4E"/>
    <w:rsid w:val="004A549B"/>
    <w:rsid w:val="004B180B"/>
    <w:rsid w:val="004B7F49"/>
    <w:rsid w:val="004C508D"/>
    <w:rsid w:val="004D16F1"/>
    <w:rsid w:val="004D7B5E"/>
    <w:rsid w:val="004F0CE0"/>
    <w:rsid w:val="004F746A"/>
    <w:rsid w:val="005010FF"/>
    <w:rsid w:val="0050173D"/>
    <w:rsid w:val="005037F8"/>
    <w:rsid w:val="00503952"/>
    <w:rsid w:val="005063C2"/>
    <w:rsid w:val="00513E0E"/>
    <w:rsid w:val="00514B61"/>
    <w:rsid w:val="0052146A"/>
    <w:rsid w:val="00527190"/>
    <w:rsid w:val="00542872"/>
    <w:rsid w:val="00555054"/>
    <w:rsid w:val="0056137B"/>
    <w:rsid w:val="005614BA"/>
    <w:rsid w:val="00565F9E"/>
    <w:rsid w:val="005663AD"/>
    <w:rsid w:val="0057738A"/>
    <w:rsid w:val="00581694"/>
    <w:rsid w:val="00582971"/>
    <w:rsid w:val="00584EE3"/>
    <w:rsid w:val="0059046B"/>
    <w:rsid w:val="005973F5"/>
    <w:rsid w:val="005B3A5E"/>
    <w:rsid w:val="005D66B9"/>
    <w:rsid w:val="005E347F"/>
    <w:rsid w:val="005F56CF"/>
    <w:rsid w:val="006027D3"/>
    <w:rsid w:val="0060445F"/>
    <w:rsid w:val="00604900"/>
    <w:rsid w:val="00605401"/>
    <w:rsid w:val="00605C5D"/>
    <w:rsid w:val="00616E85"/>
    <w:rsid w:val="006208DE"/>
    <w:rsid w:val="006243D6"/>
    <w:rsid w:val="00631F8D"/>
    <w:rsid w:val="00640E82"/>
    <w:rsid w:val="006457CC"/>
    <w:rsid w:val="00653EAB"/>
    <w:rsid w:val="00656138"/>
    <w:rsid w:val="006670B3"/>
    <w:rsid w:val="00676B65"/>
    <w:rsid w:val="00691327"/>
    <w:rsid w:val="006A4276"/>
    <w:rsid w:val="006B3815"/>
    <w:rsid w:val="006C4912"/>
    <w:rsid w:val="006E0F1D"/>
    <w:rsid w:val="006F24B8"/>
    <w:rsid w:val="006F2AED"/>
    <w:rsid w:val="00702EB4"/>
    <w:rsid w:val="0070508D"/>
    <w:rsid w:val="007057B5"/>
    <w:rsid w:val="007109E3"/>
    <w:rsid w:val="00713D99"/>
    <w:rsid w:val="0072565A"/>
    <w:rsid w:val="007272AB"/>
    <w:rsid w:val="00751A3A"/>
    <w:rsid w:val="00754AB7"/>
    <w:rsid w:val="00755082"/>
    <w:rsid w:val="0075696D"/>
    <w:rsid w:val="00770D0D"/>
    <w:rsid w:val="007861B2"/>
    <w:rsid w:val="00786319"/>
    <w:rsid w:val="007876CE"/>
    <w:rsid w:val="007A328E"/>
    <w:rsid w:val="007A6290"/>
    <w:rsid w:val="007B12AD"/>
    <w:rsid w:val="007B29EA"/>
    <w:rsid w:val="007B3E69"/>
    <w:rsid w:val="007B6A18"/>
    <w:rsid w:val="007D11DC"/>
    <w:rsid w:val="007E1B0E"/>
    <w:rsid w:val="007F5045"/>
    <w:rsid w:val="00806E4A"/>
    <w:rsid w:val="008143A7"/>
    <w:rsid w:val="00826F9C"/>
    <w:rsid w:val="00855D07"/>
    <w:rsid w:val="00883007"/>
    <w:rsid w:val="00892D5A"/>
    <w:rsid w:val="008968DC"/>
    <w:rsid w:val="008A5333"/>
    <w:rsid w:val="008B0A9B"/>
    <w:rsid w:val="008B3993"/>
    <w:rsid w:val="008C3617"/>
    <w:rsid w:val="008C54C2"/>
    <w:rsid w:val="008E5C28"/>
    <w:rsid w:val="008F0F39"/>
    <w:rsid w:val="008F68A9"/>
    <w:rsid w:val="00906114"/>
    <w:rsid w:val="00910555"/>
    <w:rsid w:val="0093000C"/>
    <w:rsid w:val="0093379E"/>
    <w:rsid w:val="00935EC2"/>
    <w:rsid w:val="00937783"/>
    <w:rsid w:val="0094178A"/>
    <w:rsid w:val="00950FD4"/>
    <w:rsid w:val="00961A24"/>
    <w:rsid w:val="00971FF9"/>
    <w:rsid w:val="00980362"/>
    <w:rsid w:val="00980EF9"/>
    <w:rsid w:val="009833DE"/>
    <w:rsid w:val="00996CF2"/>
    <w:rsid w:val="0099732D"/>
    <w:rsid w:val="009A3555"/>
    <w:rsid w:val="009B58DC"/>
    <w:rsid w:val="009B7954"/>
    <w:rsid w:val="009C0954"/>
    <w:rsid w:val="009E1304"/>
    <w:rsid w:val="00A014CF"/>
    <w:rsid w:val="00A021FF"/>
    <w:rsid w:val="00A0317B"/>
    <w:rsid w:val="00A06ED3"/>
    <w:rsid w:val="00A20908"/>
    <w:rsid w:val="00A40CC8"/>
    <w:rsid w:val="00A46781"/>
    <w:rsid w:val="00A47AF7"/>
    <w:rsid w:val="00A53935"/>
    <w:rsid w:val="00A660ED"/>
    <w:rsid w:val="00A709BC"/>
    <w:rsid w:val="00A71D76"/>
    <w:rsid w:val="00A813D4"/>
    <w:rsid w:val="00AB0D7F"/>
    <w:rsid w:val="00AC0E2C"/>
    <w:rsid w:val="00AC16D9"/>
    <w:rsid w:val="00AC498B"/>
    <w:rsid w:val="00AC4C72"/>
    <w:rsid w:val="00AE1235"/>
    <w:rsid w:val="00AE17EF"/>
    <w:rsid w:val="00AE47E9"/>
    <w:rsid w:val="00B04D85"/>
    <w:rsid w:val="00B06B8A"/>
    <w:rsid w:val="00B119F5"/>
    <w:rsid w:val="00B26A2B"/>
    <w:rsid w:val="00B3703C"/>
    <w:rsid w:val="00B37056"/>
    <w:rsid w:val="00B40AB4"/>
    <w:rsid w:val="00B44A7A"/>
    <w:rsid w:val="00B5788A"/>
    <w:rsid w:val="00B61A79"/>
    <w:rsid w:val="00B75124"/>
    <w:rsid w:val="00B77C14"/>
    <w:rsid w:val="00B8046D"/>
    <w:rsid w:val="00B82462"/>
    <w:rsid w:val="00BA0C90"/>
    <w:rsid w:val="00BA37B9"/>
    <w:rsid w:val="00BB2BE4"/>
    <w:rsid w:val="00BB6E2E"/>
    <w:rsid w:val="00BB7FFD"/>
    <w:rsid w:val="00BC2F44"/>
    <w:rsid w:val="00BC3AAF"/>
    <w:rsid w:val="00BE10F3"/>
    <w:rsid w:val="00BE3604"/>
    <w:rsid w:val="00BE77EA"/>
    <w:rsid w:val="00C037C5"/>
    <w:rsid w:val="00C111A4"/>
    <w:rsid w:val="00C161A5"/>
    <w:rsid w:val="00C22DF6"/>
    <w:rsid w:val="00C32C89"/>
    <w:rsid w:val="00C462CD"/>
    <w:rsid w:val="00C53556"/>
    <w:rsid w:val="00C54AE1"/>
    <w:rsid w:val="00C67A77"/>
    <w:rsid w:val="00C94D71"/>
    <w:rsid w:val="00CA1091"/>
    <w:rsid w:val="00CA4E43"/>
    <w:rsid w:val="00CA6DFB"/>
    <w:rsid w:val="00CB7989"/>
    <w:rsid w:val="00CC721E"/>
    <w:rsid w:val="00CD6FE2"/>
    <w:rsid w:val="00CE1772"/>
    <w:rsid w:val="00CE1E64"/>
    <w:rsid w:val="00CF245D"/>
    <w:rsid w:val="00CF39A0"/>
    <w:rsid w:val="00D027E5"/>
    <w:rsid w:val="00D0625E"/>
    <w:rsid w:val="00D10766"/>
    <w:rsid w:val="00D10BF7"/>
    <w:rsid w:val="00D12BDD"/>
    <w:rsid w:val="00D17C4F"/>
    <w:rsid w:val="00D17F7C"/>
    <w:rsid w:val="00D22F91"/>
    <w:rsid w:val="00D31F1C"/>
    <w:rsid w:val="00D400B8"/>
    <w:rsid w:val="00D427C3"/>
    <w:rsid w:val="00D45CEB"/>
    <w:rsid w:val="00D46B42"/>
    <w:rsid w:val="00D6343A"/>
    <w:rsid w:val="00D804C5"/>
    <w:rsid w:val="00D82004"/>
    <w:rsid w:val="00D91456"/>
    <w:rsid w:val="00DA2772"/>
    <w:rsid w:val="00DA532E"/>
    <w:rsid w:val="00DD015D"/>
    <w:rsid w:val="00DD08CA"/>
    <w:rsid w:val="00DD1FEA"/>
    <w:rsid w:val="00DD6A6E"/>
    <w:rsid w:val="00DE3FAD"/>
    <w:rsid w:val="00DE5354"/>
    <w:rsid w:val="00DE6CDB"/>
    <w:rsid w:val="00DF0348"/>
    <w:rsid w:val="00DF790D"/>
    <w:rsid w:val="00E01919"/>
    <w:rsid w:val="00E33D09"/>
    <w:rsid w:val="00E359AA"/>
    <w:rsid w:val="00E4355B"/>
    <w:rsid w:val="00E53945"/>
    <w:rsid w:val="00E66D09"/>
    <w:rsid w:val="00E71F4B"/>
    <w:rsid w:val="00E73F3F"/>
    <w:rsid w:val="00E91C60"/>
    <w:rsid w:val="00EA6EF7"/>
    <w:rsid w:val="00EC02CA"/>
    <w:rsid w:val="00EC2570"/>
    <w:rsid w:val="00ED1EAA"/>
    <w:rsid w:val="00EE3F6D"/>
    <w:rsid w:val="00EE5497"/>
    <w:rsid w:val="00EF460F"/>
    <w:rsid w:val="00EF6309"/>
    <w:rsid w:val="00F02175"/>
    <w:rsid w:val="00F049B4"/>
    <w:rsid w:val="00F178ED"/>
    <w:rsid w:val="00F266A8"/>
    <w:rsid w:val="00F27A87"/>
    <w:rsid w:val="00F34836"/>
    <w:rsid w:val="00F43DC4"/>
    <w:rsid w:val="00F47EBA"/>
    <w:rsid w:val="00F65E82"/>
    <w:rsid w:val="00F678F1"/>
    <w:rsid w:val="00F67FB5"/>
    <w:rsid w:val="00F764B1"/>
    <w:rsid w:val="00F971FB"/>
    <w:rsid w:val="00FA5C3F"/>
    <w:rsid w:val="00FA7E8E"/>
    <w:rsid w:val="00FB04B9"/>
    <w:rsid w:val="00FB0ECF"/>
    <w:rsid w:val="00FC205B"/>
    <w:rsid w:val="00FC7006"/>
    <w:rsid w:val="00FD7444"/>
    <w:rsid w:val="00FD7D30"/>
    <w:rsid w:val="00FF469B"/>
    <w:rsid w:val="00FF6F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rules v:ext="edit">
        <o:r id="V:Rule43" type="connector" idref="#AutoShape 194"/>
        <o:r id="V:Rule44" type="connector" idref="#AutoShape 221"/>
        <o:r id="V:Rule45" type="connector" idref="#AutoShape 208"/>
        <o:r id="V:Rule46" type="connector" idref="#AutoShape 220"/>
        <o:r id="V:Rule47" type="connector" idref="#AutoShape 187"/>
        <o:r id="V:Rule48" type="connector" idref="#AutoShape 191"/>
        <o:r id="V:Rule49" type="connector" idref="#AutoShape 218"/>
        <o:r id="V:Rule50" type="connector" idref="#AutoShape 199"/>
        <o:r id="V:Rule51" type="connector" idref="#AutoShape 210"/>
        <o:r id="V:Rule52" type="connector" idref="#AutoShape 214"/>
        <o:r id="V:Rule53" type="connector" idref="#AutoShape 193"/>
        <o:r id="V:Rule55" type="connector" idref="#AutoShape 200"/>
        <o:r id="V:Rule56" type="connector" idref="#AutoShape 203"/>
        <o:r id="V:Rule57" type="connector" idref="#AutoShape 216"/>
        <o:r id="V:Rule58" type="connector" idref="#AutoShape 202"/>
        <o:r id="V:Rule59" type="connector" idref="#AutoShape 196"/>
        <o:r id="V:Rule60" type="connector" idref="#AutoShape 189"/>
        <o:r id="V:Rule61" type="connector" idref="#AutoShape 205"/>
        <o:r id="V:Rule62" type="connector" idref="#AutoShape 186"/>
        <o:r id="V:Rule63" type="connector" idref="#AutoShape 213"/>
        <o:r id="V:Rule65" type="connector" idref="#AutoShape 215"/>
        <o:r id="V:Rule66" type="connector" idref="#AutoShape 206"/>
        <o:r id="V:Rule67" type="connector" idref="#AutoShape 188"/>
        <o:r id="V:Rule68" type="connector" idref="#AutoShape 209"/>
        <o:r id="V:Rule69" type="connector" idref="#AutoShape 195"/>
        <o:r id="V:Rule70" type="connector" idref="#AutoShape 74"/>
        <o:r id="V:Rule71" type="connector" idref="#AutoShape 219"/>
        <o:r id="V:Rule72" type="connector" idref="#AutoShape 185"/>
        <o:r id="V:Rule73" type="connector" idref="#AutoShape 194"/>
        <o:r id="V:Rule75" type="connector" idref="#AutoShape 217"/>
        <o:r id="V:Rule76" type="connector" idref="#AutoShape 201"/>
        <o:r id="V:Rule77" type="connector" idref="#AutoShape 198"/>
        <o:r id="V:Rule78" type="connector" idref="#AutoShape 181"/>
        <o:r id="V:Rule79" type="connector" idref="#AutoShape 197"/>
        <o:r id="V:Rule80" type="connector" idref="#AutoShape 207"/>
        <o:r id="V:Rule82" type="connector" idref="#AutoShape 211"/>
        <o:r id="V:Rule83" type="connector" idref="#AutoShape 204"/>
        <o:r id="V:Rule84" type="connector" idref="#AutoShape 221"/>
        <o:r id="V:Rule85" type="connector" idref="#AutoShape 212"/>
        <o:r id="V:Rule86" type="connector" idref="#AutoShape 192"/>
        <o:r id="V:Rule87" type="connector" idref="#AutoShape 208"/>
        <o:r id="V:Rule88" type="connector" idref="#AutoShape 220"/>
        <o:r id="V:Rule89" type="connector" idref="#AutoShape 182"/>
        <o:r id="V:Rule90" type="connector" idref="#AutoShape 184"/>
        <o:r id="V:Rule91" type="connector" idref="#AutoShape 190"/>
        <o:r id="V:Rule92" type="connector" idref="#AutoShape 183"/>
      </o:rules>
      <o:regrouptable v:ext="edit">
        <o:entry new="1" old="0"/>
        <o:entry new="2" old="1"/>
        <o:entry new="3" old="2"/>
        <o:entry new="4" old="3"/>
        <o:entry new="5" old="0"/>
        <o:entry new="6" old="0"/>
        <o:entry new="7" old="0"/>
        <o:entry new="8" old="0"/>
        <o:entry new="9" old="8"/>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28AB"/>
    <w:pPr>
      <w:suppressAutoHyphens/>
    </w:pPr>
    <w:rPr>
      <w:rFonts w:ascii="New York" w:hAnsi="New York" w:cs="New York"/>
      <w:sz w:val="24"/>
      <w:lang w:val="fr-FR" w:eastAsia="ar-SA"/>
    </w:rPr>
  </w:style>
  <w:style w:type="paragraph" w:styleId="1">
    <w:name w:val="heading 1"/>
    <w:basedOn w:val="a"/>
    <w:link w:val="10"/>
    <w:uiPriority w:val="9"/>
    <w:qFormat/>
    <w:rsid w:val="00503952"/>
    <w:pPr>
      <w:suppressAutoHyphens w:val="0"/>
      <w:spacing w:before="100" w:beforeAutospacing="1" w:after="100" w:afterAutospacing="1"/>
      <w:outlineLvl w:val="0"/>
    </w:pPr>
    <w:rPr>
      <w:rFonts w:ascii="Times New Roman" w:hAnsi="Times New Roman" w:cs="Times New Roman"/>
      <w:b/>
      <w:bCs/>
      <w:kern w:val="36"/>
      <w:sz w:val="48"/>
      <w:szCs w:val="48"/>
      <w:lang w:val="en-US" w:eastAsia="en-US"/>
    </w:rPr>
  </w:style>
  <w:style w:type="paragraph" w:styleId="2">
    <w:name w:val="heading 2"/>
    <w:basedOn w:val="a"/>
    <w:next w:val="a"/>
    <w:link w:val="20"/>
    <w:uiPriority w:val="9"/>
    <w:unhideWhenUsed/>
    <w:qFormat/>
    <w:rsid w:val="008F0F39"/>
    <w:pPr>
      <w:keepNext/>
      <w:keepLines/>
      <w:suppressAutoHyphens w:val="0"/>
      <w:spacing w:before="200"/>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
    <w:link w:val="30"/>
    <w:uiPriority w:val="9"/>
    <w:qFormat/>
    <w:rsid w:val="00503952"/>
    <w:pPr>
      <w:suppressAutoHyphens w:val="0"/>
      <w:spacing w:before="100" w:beforeAutospacing="1" w:after="100" w:afterAutospacing="1"/>
      <w:outlineLvl w:val="2"/>
    </w:pPr>
    <w:rPr>
      <w:rFonts w:ascii="Times New Roman" w:hAnsi="Times New Roman" w:cs="Times New Roman"/>
      <w:b/>
      <w:bCs/>
      <w:sz w:val="27"/>
      <w:szCs w:val="27"/>
      <w:lang w:val="en-US"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028AB"/>
  </w:style>
  <w:style w:type="character" w:customStyle="1" w:styleId="WW-Absatz-Standardschriftart">
    <w:name w:val="WW-Absatz-Standardschriftart"/>
    <w:rsid w:val="003028AB"/>
  </w:style>
  <w:style w:type="character" w:customStyle="1" w:styleId="WW-Absatz-Standardschriftart1">
    <w:name w:val="WW-Absatz-Standardschriftart1"/>
    <w:rsid w:val="003028AB"/>
  </w:style>
  <w:style w:type="character" w:customStyle="1" w:styleId="WW-Absatz-Standardschriftart11">
    <w:name w:val="WW-Absatz-Standardschriftart11"/>
    <w:rsid w:val="003028AB"/>
  </w:style>
  <w:style w:type="character" w:customStyle="1" w:styleId="WW-Absatz-Standardschriftart111">
    <w:name w:val="WW-Absatz-Standardschriftart111"/>
    <w:rsid w:val="003028AB"/>
  </w:style>
  <w:style w:type="character" w:customStyle="1" w:styleId="WW8Num1z1">
    <w:name w:val="WW8Num1z1"/>
    <w:rsid w:val="003028AB"/>
    <w:rPr>
      <w:rFonts w:ascii="Courier New" w:hAnsi="Courier New" w:cs="Courier New"/>
    </w:rPr>
  </w:style>
  <w:style w:type="character" w:customStyle="1" w:styleId="WW8Num1z2">
    <w:name w:val="WW8Num1z2"/>
    <w:rsid w:val="003028AB"/>
    <w:rPr>
      <w:rFonts w:ascii="Wingdings" w:hAnsi="Wingdings"/>
    </w:rPr>
  </w:style>
  <w:style w:type="character" w:customStyle="1" w:styleId="WW8Num1z3">
    <w:name w:val="WW8Num1z3"/>
    <w:rsid w:val="003028AB"/>
    <w:rPr>
      <w:rFonts w:ascii="Symbol" w:hAnsi="Symbol"/>
    </w:rPr>
  </w:style>
  <w:style w:type="character" w:customStyle="1" w:styleId="WW8Num2z0">
    <w:name w:val="WW8Num2z0"/>
    <w:rsid w:val="003028AB"/>
    <w:rPr>
      <w:rFonts w:ascii="Times New Roman" w:eastAsia="Times New Roman" w:hAnsi="Times New Roman" w:cs="Times New Roman"/>
    </w:rPr>
  </w:style>
  <w:style w:type="character" w:customStyle="1" w:styleId="WW8Num2z1">
    <w:name w:val="WW8Num2z1"/>
    <w:rsid w:val="003028AB"/>
    <w:rPr>
      <w:rFonts w:ascii="Courier New" w:hAnsi="Courier New" w:cs="Courier New"/>
    </w:rPr>
  </w:style>
  <w:style w:type="character" w:customStyle="1" w:styleId="WW8Num2z2">
    <w:name w:val="WW8Num2z2"/>
    <w:rsid w:val="003028AB"/>
    <w:rPr>
      <w:rFonts w:ascii="Wingdings" w:hAnsi="Wingdings"/>
    </w:rPr>
  </w:style>
  <w:style w:type="character" w:customStyle="1" w:styleId="WW8Num2z3">
    <w:name w:val="WW8Num2z3"/>
    <w:rsid w:val="003028AB"/>
    <w:rPr>
      <w:rFonts w:ascii="Symbol" w:hAnsi="Symbol"/>
    </w:rPr>
  </w:style>
  <w:style w:type="character" w:customStyle="1" w:styleId="WW8Num3z0">
    <w:name w:val="WW8Num3z0"/>
    <w:rsid w:val="003028AB"/>
    <w:rPr>
      <w:rFonts w:ascii="Wingdings" w:hAnsi="Wingdings"/>
    </w:rPr>
  </w:style>
  <w:style w:type="character" w:customStyle="1" w:styleId="WW8Num3z1">
    <w:name w:val="WW8Num3z1"/>
    <w:rsid w:val="003028AB"/>
    <w:rPr>
      <w:rFonts w:ascii="Courier New" w:hAnsi="Courier New" w:cs="Courier New"/>
    </w:rPr>
  </w:style>
  <w:style w:type="character" w:customStyle="1" w:styleId="WW8Num3z3">
    <w:name w:val="WW8Num3z3"/>
    <w:rsid w:val="003028AB"/>
    <w:rPr>
      <w:rFonts w:ascii="Symbol" w:hAnsi="Symbol"/>
    </w:rPr>
  </w:style>
  <w:style w:type="character" w:customStyle="1" w:styleId="WW8Num8z0">
    <w:name w:val="WW8Num8z0"/>
    <w:rsid w:val="003028AB"/>
    <w:rPr>
      <w:rFonts w:ascii="Wingdings" w:hAnsi="Wingdings"/>
    </w:rPr>
  </w:style>
  <w:style w:type="character" w:customStyle="1" w:styleId="WW8Num8z1">
    <w:name w:val="WW8Num8z1"/>
    <w:rsid w:val="003028AB"/>
    <w:rPr>
      <w:rFonts w:ascii="Courier New" w:hAnsi="Courier New" w:cs="Courier New"/>
    </w:rPr>
  </w:style>
  <w:style w:type="character" w:customStyle="1" w:styleId="WW8Num8z3">
    <w:name w:val="WW8Num8z3"/>
    <w:rsid w:val="003028AB"/>
    <w:rPr>
      <w:rFonts w:ascii="Symbol" w:hAnsi="Symbol"/>
    </w:rPr>
  </w:style>
  <w:style w:type="character" w:customStyle="1" w:styleId="WW8Num9z0">
    <w:name w:val="WW8Num9z0"/>
    <w:rsid w:val="003028AB"/>
    <w:rPr>
      <w:rFonts w:ascii="Wingdings" w:hAnsi="Wingdings"/>
    </w:rPr>
  </w:style>
  <w:style w:type="character" w:customStyle="1" w:styleId="WW8Num9z1">
    <w:name w:val="WW8Num9z1"/>
    <w:rsid w:val="003028AB"/>
    <w:rPr>
      <w:rFonts w:ascii="Courier New" w:hAnsi="Courier New" w:cs="Courier New"/>
    </w:rPr>
  </w:style>
  <w:style w:type="character" w:customStyle="1" w:styleId="WW8Num9z3">
    <w:name w:val="WW8Num9z3"/>
    <w:rsid w:val="003028AB"/>
    <w:rPr>
      <w:rFonts w:ascii="Symbol" w:hAnsi="Symbol"/>
    </w:rPr>
  </w:style>
  <w:style w:type="character" w:customStyle="1" w:styleId="WW8Num10z0">
    <w:name w:val="WW8Num10z0"/>
    <w:rsid w:val="003028AB"/>
    <w:rPr>
      <w:rFonts w:ascii="Wingdings" w:hAnsi="Wingdings"/>
    </w:rPr>
  </w:style>
  <w:style w:type="character" w:customStyle="1" w:styleId="WW8Num10z1">
    <w:name w:val="WW8Num10z1"/>
    <w:rsid w:val="003028AB"/>
    <w:rPr>
      <w:rFonts w:ascii="Courier New" w:hAnsi="Courier New" w:cs="Courier New"/>
    </w:rPr>
  </w:style>
  <w:style w:type="character" w:customStyle="1" w:styleId="WW8Num10z3">
    <w:name w:val="WW8Num10z3"/>
    <w:rsid w:val="003028AB"/>
    <w:rPr>
      <w:rFonts w:ascii="Symbol" w:hAnsi="Symbol"/>
    </w:rPr>
  </w:style>
  <w:style w:type="character" w:customStyle="1" w:styleId="Policepardfaut1">
    <w:name w:val="Police par défaut1"/>
    <w:rsid w:val="003028AB"/>
  </w:style>
  <w:style w:type="character" w:customStyle="1" w:styleId="FootnoteCharacters">
    <w:name w:val="Footnote Characters"/>
    <w:rsid w:val="003028AB"/>
    <w:rPr>
      <w:position w:val="1"/>
      <w:sz w:val="16"/>
    </w:rPr>
  </w:style>
  <w:style w:type="character" w:styleId="a3">
    <w:name w:val="page number"/>
    <w:basedOn w:val="Policepardfaut1"/>
    <w:rsid w:val="003028AB"/>
  </w:style>
  <w:style w:type="character" w:customStyle="1" w:styleId="CarCar1">
    <w:name w:val="Car Car1"/>
    <w:rsid w:val="003028AB"/>
    <w:rPr>
      <w:sz w:val="24"/>
    </w:rPr>
  </w:style>
  <w:style w:type="character" w:customStyle="1" w:styleId="CarCar">
    <w:name w:val="Car Car"/>
    <w:rsid w:val="003028AB"/>
    <w:rPr>
      <w:rFonts w:ascii="Tahoma" w:hAnsi="Tahoma" w:cs="Tahoma"/>
      <w:sz w:val="16"/>
      <w:szCs w:val="16"/>
    </w:rPr>
  </w:style>
  <w:style w:type="character" w:customStyle="1" w:styleId="stitrecomplet">
    <w:name w:val="stitre_complet"/>
    <w:basedOn w:val="Policepardfaut1"/>
    <w:rsid w:val="003028AB"/>
  </w:style>
  <w:style w:type="character" w:styleId="a4">
    <w:name w:val="footnote reference"/>
    <w:semiHidden/>
    <w:rsid w:val="003028AB"/>
    <w:rPr>
      <w:vertAlign w:val="superscript"/>
    </w:rPr>
  </w:style>
  <w:style w:type="character" w:customStyle="1" w:styleId="EndnoteCharacters">
    <w:name w:val="Endnote Characters"/>
    <w:rsid w:val="003028AB"/>
    <w:rPr>
      <w:vertAlign w:val="superscript"/>
    </w:rPr>
  </w:style>
  <w:style w:type="character" w:customStyle="1" w:styleId="WW-EndnoteCharacters">
    <w:name w:val="WW-Endnote Characters"/>
    <w:rsid w:val="003028AB"/>
  </w:style>
  <w:style w:type="character" w:styleId="a5">
    <w:name w:val="endnote reference"/>
    <w:semiHidden/>
    <w:rsid w:val="003028AB"/>
    <w:rPr>
      <w:vertAlign w:val="superscript"/>
    </w:rPr>
  </w:style>
  <w:style w:type="paragraph" w:customStyle="1" w:styleId="Heading">
    <w:name w:val="Heading"/>
    <w:basedOn w:val="a"/>
    <w:next w:val="a6"/>
    <w:rsid w:val="003028AB"/>
    <w:pPr>
      <w:keepNext/>
      <w:spacing w:before="240" w:after="120"/>
    </w:pPr>
    <w:rPr>
      <w:rFonts w:ascii="Arial" w:eastAsia="Bitstream Vera Sans" w:hAnsi="Arial" w:cs="Bitstream Vera Sans"/>
      <w:sz w:val="28"/>
      <w:szCs w:val="28"/>
    </w:rPr>
  </w:style>
  <w:style w:type="paragraph" w:styleId="a6">
    <w:name w:val="Body Text"/>
    <w:basedOn w:val="a"/>
    <w:rsid w:val="003028AB"/>
    <w:pPr>
      <w:jc w:val="both"/>
    </w:pPr>
    <w:rPr>
      <w:rFonts w:ascii="Times" w:hAnsi="Times"/>
      <w:sz w:val="20"/>
      <w:lang w:val="en-GB"/>
    </w:rPr>
  </w:style>
  <w:style w:type="paragraph" w:styleId="a7">
    <w:name w:val="List"/>
    <w:basedOn w:val="a6"/>
    <w:rsid w:val="003028AB"/>
  </w:style>
  <w:style w:type="paragraph" w:customStyle="1" w:styleId="Caption">
    <w:name w:val="Caption"/>
    <w:basedOn w:val="a"/>
    <w:rsid w:val="003028AB"/>
    <w:pPr>
      <w:suppressLineNumbers/>
      <w:spacing w:before="120" w:after="120"/>
    </w:pPr>
    <w:rPr>
      <w:i/>
      <w:iCs/>
      <w:szCs w:val="24"/>
    </w:rPr>
  </w:style>
  <w:style w:type="paragraph" w:customStyle="1" w:styleId="Index">
    <w:name w:val="Index"/>
    <w:basedOn w:val="a"/>
    <w:rsid w:val="003028AB"/>
    <w:pPr>
      <w:suppressLineNumbers/>
    </w:pPr>
  </w:style>
  <w:style w:type="paragraph" w:styleId="a8">
    <w:name w:val="footer"/>
    <w:basedOn w:val="a"/>
    <w:link w:val="a9"/>
    <w:uiPriority w:val="99"/>
    <w:rsid w:val="003028AB"/>
  </w:style>
  <w:style w:type="paragraph" w:styleId="aa">
    <w:name w:val="footnote text"/>
    <w:basedOn w:val="a"/>
    <w:semiHidden/>
    <w:rsid w:val="003028AB"/>
    <w:rPr>
      <w:sz w:val="20"/>
    </w:rPr>
  </w:style>
  <w:style w:type="paragraph" w:customStyle="1" w:styleId="ref">
    <w:name w:val="ref"/>
    <w:basedOn w:val="a"/>
    <w:rsid w:val="003028AB"/>
    <w:pPr>
      <w:spacing w:line="480" w:lineRule="atLeast"/>
      <w:jc w:val="both"/>
    </w:pPr>
    <w:rPr>
      <w:rFonts w:ascii="Times" w:hAnsi="Times"/>
    </w:rPr>
  </w:style>
  <w:style w:type="paragraph" w:styleId="ab">
    <w:name w:val="header"/>
    <w:basedOn w:val="a"/>
    <w:rsid w:val="003028AB"/>
  </w:style>
  <w:style w:type="paragraph" w:styleId="ac">
    <w:name w:val="Balloon Text"/>
    <w:basedOn w:val="a"/>
    <w:rsid w:val="003028AB"/>
    <w:rPr>
      <w:rFonts w:ascii="Tahoma" w:hAnsi="Tahoma" w:cs="Tahoma"/>
      <w:sz w:val="16"/>
      <w:szCs w:val="16"/>
    </w:rPr>
  </w:style>
  <w:style w:type="paragraph" w:styleId="ad">
    <w:name w:val="List Paragraph"/>
    <w:basedOn w:val="a"/>
    <w:uiPriority w:val="99"/>
    <w:qFormat/>
    <w:rsid w:val="003028AB"/>
    <w:pPr>
      <w:ind w:left="720"/>
    </w:pPr>
  </w:style>
  <w:style w:type="paragraph" w:customStyle="1" w:styleId="TableContents">
    <w:name w:val="Table Contents"/>
    <w:basedOn w:val="a"/>
    <w:rsid w:val="003028AB"/>
    <w:pPr>
      <w:suppressLineNumbers/>
    </w:pPr>
  </w:style>
  <w:style w:type="paragraph" w:customStyle="1" w:styleId="TableHeading">
    <w:name w:val="Table Heading"/>
    <w:basedOn w:val="TableContents"/>
    <w:rsid w:val="003028AB"/>
    <w:pPr>
      <w:jc w:val="center"/>
    </w:pPr>
    <w:rPr>
      <w:b/>
      <w:bCs/>
    </w:rPr>
  </w:style>
  <w:style w:type="character" w:styleId="ae">
    <w:name w:val="Strong"/>
    <w:uiPriority w:val="22"/>
    <w:qFormat/>
    <w:rsid w:val="00D31F1C"/>
    <w:rPr>
      <w:b/>
      <w:bCs/>
    </w:rPr>
  </w:style>
  <w:style w:type="character" w:styleId="af">
    <w:name w:val="Hyperlink"/>
    <w:uiPriority w:val="99"/>
    <w:rsid w:val="00DD08CA"/>
    <w:rPr>
      <w:color w:val="0000FF"/>
      <w:u w:val="single"/>
    </w:rPr>
  </w:style>
  <w:style w:type="character" w:customStyle="1" w:styleId="a9">
    <w:name w:val="Нижний колонтитул Знак"/>
    <w:link w:val="a8"/>
    <w:uiPriority w:val="99"/>
    <w:rsid w:val="003965B9"/>
    <w:rPr>
      <w:rFonts w:ascii="New York" w:hAnsi="New York" w:cs="New York"/>
      <w:sz w:val="24"/>
      <w:lang w:eastAsia="ar-SA"/>
    </w:rPr>
  </w:style>
  <w:style w:type="character" w:customStyle="1" w:styleId="A80">
    <w:name w:val="A8"/>
    <w:uiPriority w:val="99"/>
    <w:rsid w:val="009B7954"/>
    <w:rPr>
      <w:rFonts w:cs="HelveticaNeueLT Pro 65 Md"/>
      <w:color w:val="000000"/>
      <w:sz w:val="19"/>
      <w:szCs w:val="19"/>
    </w:rPr>
  </w:style>
  <w:style w:type="paragraph" w:styleId="af0">
    <w:name w:val="Normal (Web)"/>
    <w:basedOn w:val="a"/>
    <w:uiPriority w:val="99"/>
    <w:unhideWhenUsed/>
    <w:rsid w:val="00AC4C72"/>
    <w:pPr>
      <w:suppressAutoHyphens w:val="0"/>
      <w:spacing w:before="100" w:beforeAutospacing="1" w:after="100" w:afterAutospacing="1"/>
    </w:pPr>
    <w:rPr>
      <w:rFonts w:ascii="Times New Roman" w:hAnsi="Times New Roman" w:cs="Times New Roman"/>
      <w:szCs w:val="24"/>
      <w:lang w:val="en-US" w:eastAsia="en-US"/>
    </w:rPr>
  </w:style>
  <w:style w:type="table" w:styleId="af1">
    <w:name w:val="Table Grid"/>
    <w:basedOn w:val="a1"/>
    <w:rsid w:val="00421A2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17">
    <w:name w:val="Pa17"/>
    <w:basedOn w:val="a"/>
    <w:next w:val="a"/>
    <w:uiPriority w:val="99"/>
    <w:rsid w:val="00542872"/>
    <w:pPr>
      <w:suppressAutoHyphens w:val="0"/>
      <w:autoSpaceDE w:val="0"/>
      <w:autoSpaceDN w:val="0"/>
      <w:adjustRightInd w:val="0"/>
      <w:spacing w:line="201" w:lineRule="atLeast"/>
    </w:pPr>
    <w:rPr>
      <w:rFonts w:ascii="HelveticaNeueLT Pro 65 Md" w:hAnsi="HelveticaNeueLT Pro 65 Md" w:cs="Times New Roman"/>
      <w:szCs w:val="24"/>
      <w:lang w:val="en-US" w:eastAsia="en-US"/>
    </w:rPr>
  </w:style>
  <w:style w:type="character" w:customStyle="1" w:styleId="A60">
    <w:name w:val="A6"/>
    <w:uiPriority w:val="99"/>
    <w:rsid w:val="00542872"/>
    <w:rPr>
      <w:rFonts w:cs="HelveticaNeueLT Pro 65 Md"/>
      <w:color w:val="000000"/>
      <w:sz w:val="17"/>
      <w:szCs w:val="17"/>
    </w:rPr>
  </w:style>
  <w:style w:type="character" w:customStyle="1" w:styleId="A10">
    <w:name w:val="A1"/>
    <w:uiPriority w:val="99"/>
    <w:rsid w:val="00BE10F3"/>
    <w:rPr>
      <w:rFonts w:cs="HelveticaNeueLT Pro 65 Md"/>
      <w:color w:val="000000"/>
      <w:sz w:val="74"/>
      <w:szCs w:val="74"/>
    </w:rPr>
  </w:style>
  <w:style w:type="paragraph" w:customStyle="1" w:styleId="Pa0">
    <w:name w:val="Pa0"/>
    <w:basedOn w:val="a"/>
    <w:next w:val="a"/>
    <w:uiPriority w:val="99"/>
    <w:rsid w:val="00950FD4"/>
    <w:pPr>
      <w:suppressAutoHyphens w:val="0"/>
      <w:autoSpaceDE w:val="0"/>
      <w:autoSpaceDN w:val="0"/>
      <w:adjustRightInd w:val="0"/>
      <w:spacing w:line="241" w:lineRule="atLeast"/>
    </w:pPr>
    <w:rPr>
      <w:rFonts w:ascii="HelveticaNeueLT Pro 65 Md" w:eastAsiaTheme="minorHAnsi" w:hAnsi="HelveticaNeueLT Pro 65 Md" w:cs="Times New Roman"/>
      <w:szCs w:val="24"/>
      <w:lang w:val="en-US" w:eastAsia="en-US"/>
    </w:rPr>
  </w:style>
  <w:style w:type="character" w:customStyle="1" w:styleId="20">
    <w:name w:val="Заголовок 2 Знак"/>
    <w:basedOn w:val="a0"/>
    <w:link w:val="2"/>
    <w:uiPriority w:val="9"/>
    <w:rsid w:val="008F0F39"/>
    <w:rPr>
      <w:rFonts w:asciiTheme="majorHAnsi" w:eastAsiaTheme="majorEastAsia" w:hAnsiTheme="majorHAnsi" w:cstheme="majorBidi"/>
      <w:b/>
      <w:bCs/>
      <w:color w:val="4F81BD" w:themeColor="accent1"/>
      <w:sz w:val="26"/>
      <w:szCs w:val="26"/>
      <w:lang w:val="ru-RU" w:eastAsia="ru-RU"/>
    </w:rPr>
  </w:style>
  <w:style w:type="character" w:customStyle="1" w:styleId="economy-summaryindex">
    <w:name w:val="economy-summary__index"/>
    <w:basedOn w:val="a0"/>
    <w:rsid w:val="008F0F39"/>
  </w:style>
  <w:style w:type="character" w:customStyle="1" w:styleId="economy-summaryedition">
    <w:name w:val="economy-summary__edition"/>
    <w:basedOn w:val="a0"/>
    <w:rsid w:val="008F0F39"/>
  </w:style>
  <w:style w:type="character" w:customStyle="1" w:styleId="10">
    <w:name w:val="Заголовок 1 Знак"/>
    <w:basedOn w:val="a0"/>
    <w:link w:val="1"/>
    <w:uiPriority w:val="9"/>
    <w:rsid w:val="00503952"/>
    <w:rPr>
      <w:b/>
      <w:bCs/>
      <w:kern w:val="36"/>
      <w:sz w:val="48"/>
      <w:szCs w:val="48"/>
    </w:rPr>
  </w:style>
  <w:style w:type="character" w:customStyle="1" w:styleId="30">
    <w:name w:val="Заголовок 3 Знак"/>
    <w:basedOn w:val="a0"/>
    <w:link w:val="3"/>
    <w:uiPriority w:val="9"/>
    <w:rsid w:val="00503952"/>
    <w:rPr>
      <w:b/>
      <w:bCs/>
      <w:sz w:val="27"/>
      <w:szCs w:val="27"/>
    </w:rPr>
  </w:style>
</w:styles>
</file>

<file path=word/webSettings.xml><?xml version="1.0" encoding="utf-8"?>
<w:webSettings xmlns:r="http://schemas.openxmlformats.org/officeDocument/2006/relationships" xmlns:w="http://schemas.openxmlformats.org/wordprocessingml/2006/main">
  <w:divs>
    <w:div w:id="114063538">
      <w:bodyDiv w:val="1"/>
      <w:marLeft w:val="0"/>
      <w:marRight w:val="0"/>
      <w:marTop w:val="0"/>
      <w:marBottom w:val="0"/>
      <w:divBdr>
        <w:top w:val="none" w:sz="0" w:space="0" w:color="auto"/>
        <w:left w:val="none" w:sz="0" w:space="0" w:color="auto"/>
        <w:bottom w:val="none" w:sz="0" w:space="0" w:color="auto"/>
        <w:right w:val="none" w:sz="0" w:space="0" w:color="auto"/>
      </w:divBdr>
    </w:div>
    <w:div w:id="483618424">
      <w:bodyDiv w:val="1"/>
      <w:marLeft w:val="0"/>
      <w:marRight w:val="0"/>
      <w:marTop w:val="0"/>
      <w:marBottom w:val="0"/>
      <w:divBdr>
        <w:top w:val="none" w:sz="0" w:space="0" w:color="auto"/>
        <w:left w:val="none" w:sz="0" w:space="0" w:color="auto"/>
        <w:bottom w:val="none" w:sz="0" w:space="0" w:color="auto"/>
        <w:right w:val="none" w:sz="0" w:space="0" w:color="auto"/>
      </w:divBdr>
    </w:div>
    <w:div w:id="514030669">
      <w:bodyDiv w:val="1"/>
      <w:marLeft w:val="0"/>
      <w:marRight w:val="0"/>
      <w:marTop w:val="0"/>
      <w:marBottom w:val="0"/>
      <w:divBdr>
        <w:top w:val="none" w:sz="0" w:space="0" w:color="auto"/>
        <w:left w:val="none" w:sz="0" w:space="0" w:color="auto"/>
        <w:bottom w:val="none" w:sz="0" w:space="0" w:color="auto"/>
        <w:right w:val="none" w:sz="0" w:space="0" w:color="auto"/>
      </w:divBdr>
    </w:div>
    <w:div w:id="573853279">
      <w:bodyDiv w:val="1"/>
      <w:marLeft w:val="0"/>
      <w:marRight w:val="0"/>
      <w:marTop w:val="0"/>
      <w:marBottom w:val="0"/>
      <w:divBdr>
        <w:top w:val="none" w:sz="0" w:space="0" w:color="auto"/>
        <w:left w:val="none" w:sz="0" w:space="0" w:color="auto"/>
        <w:bottom w:val="none" w:sz="0" w:space="0" w:color="auto"/>
        <w:right w:val="none" w:sz="0" w:space="0" w:color="auto"/>
      </w:divBdr>
    </w:div>
    <w:div w:id="746878398">
      <w:bodyDiv w:val="1"/>
      <w:marLeft w:val="0"/>
      <w:marRight w:val="0"/>
      <w:marTop w:val="0"/>
      <w:marBottom w:val="0"/>
      <w:divBdr>
        <w:top w:val="none" w:sz="0" w:space="0" w:color="auto"/>
        <w:left w:val="none" w:sz="0" w:space="0" w:color="auto"/>
        <w:bottom w:val="none" w:sz="0" w:space="0" w:color="auto"/>
        <w:right w:val="none" w:sz="0" w:space="0" w:color="auto"/>
      </w:divBdr>
    </w:div>
    <w:div w:id="765619293">
      <w:bodyDiv w:val="1"/>
      <w:marLeft w:val="0"/>
      <w:marRight w:val="0"/>
      <w:marTop w:val="0"/>
      <w:marBottom w:val="0"/>
      <w:divBdr>
        <w:top w:val="none" w:sz="0" w:space="0" w:color="auto"/>
        <w:left w:val="none" w:sz="0" w:space="0" w:color="auto"/>
        <w:bottom w:val="none" w:sz="0" w:space="0" w:color="auto"/>
        <w:right w:val="none" w:sz="0" w:space="0" w:color="auto"/>
      </w:divBdr>
      <w:divsChild>
        <w:div w:id="683702969">
          <w:marLeft w:val="0"/>
          <w:marRight w:val="0"/>
          <w:marTop w:val="53"/>
          <w:marBottom w:val="0"/>
          <w:divBdr>
            <w:top w:val="none" w:sz="0" w:space="0" w:color="auto"/>
            <w:left w:val="none" w:sz="0" w:space="0" w:color="auto"/>
            <w:bottom w:val="none" w:sz="0" w:space="0" w:color="auto"/>
            <w:right w:val="none" w:sz="0" w:space="0" w:color="auto"/>
          </w:divBdr>
          <w:divsChild>
            <w:div w:id="587271130">
              <w:marLeft w:val="0"/>
              <w:marRight w:val="0"/>
              <w:marTop w:val="0"/>
              <w:marBottom w:val="247"/>
              <w:divBdr>
                <w:top w:val="none" w:sz="0" w:space="0" w:color="auto"/>
                <w:left w:val="none" w:sz="0" w:space="0" w:color="auto"/>
                <w:bottom w:val="none" w:sz="0" w:space="0" w:color="auto"/>
                <w:right w:val="none" w:sz="0" w:space="0" w:color="auto"/>
              </w:divBdr>
              <w:divsChild>
                <w:div w:id="82847444">
                  <w:marLeft w:val="0"/>
                  <w:marRight w:val="0"/>
                  <w:marTop w:val="0"/>
                  <w:marBottom w:val="0"/>
                  <w:divBdr>
                    <w:top w:val="none" w:sz="0" w:space="0" w:color="auto"/>
                    <w:left w:val="none" w:sz="0" w:space="0" w:color="auto"/>
                    <w:bottom w:val="none" w:sz="0" w:space="0" w:color="auto"/>
                    <w:right w:val="none" w:sz="0" w:space="0" w:color="auto"/>
                  </w:divBdr>
                  <w:divsChild>
                    <w:div w:id="60890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447438">
      <w:bodyDiv w:val="1"/>
      <w:marLeft w:val="0"/>
      <w:marRight w:val="0"/>
      <w:marTop w:val="0"/>
      <w:marBottom w:val="0"/>
      <w:divBdr>
        <w:top w:val="none" w:sz="0" w:space="0" w:color="auto"/>
        <w:left w:val="none" w:sz="0" w:space="0" w:color="auto"/>
        <w:bottom w:val="none" w:sz="0" w:space="0" w:color="auto"/>
        <w:right w:val="none" w:sz="0" w:space="0" w:color="auto"/>
      </w:divBdr>
    </w:div>
    <w:div w:id="877931991">
      <w:bodyDiv w:val="1"/>
      <w:marLeft w:val="0"/>
      <w:marRight w:val="0"/>
      <w:marTop w:val="0"/>
      <w:marBottom w:val="0"/>
      <w:divBdr>
        <w:top w:val="none" w:sz="0" w:space="0" w:color="auto"/>
        <w:left w:val="none" w:sz="0" w:space="0" w:color="auto"/>
        <w:bottom w:val="none" w:sz="0" w:space="0" w:color="auto"/>
        <w:right w:val="none" w:sz="0" w:space="0" w:color="auto"/>
      </w:divBdr>
    </w:div>
    <w:div w:id="1032611068">
      <w:bodyDiv w:val="1"/>
      <w:marLeft w:val="0"/>
      <w:marRight w:val="0"/>
      <w:marTop w:val="0"/>
      <w:marBottom w:val="0"/>
      <w:divBdr>
        <w:top w:val="none" w:sz="0" w:space="0" w:color="auto"/>
        <w:left w:val="none" w:sz="0" w:space="0" w:color="auto"/>
        <w:bottom w:val="none" w:sz="0" w:space="0" w:color="auto"/>
        <w:right w:val="none" w:sz="0" w:space="0" w:color="auto"/>
      </w:divBdr>
    </w:div>
    <w:div w:id="1038973884">
      <w:bodyDiv w:val="1"/>
      <w:marLeft w:val="0"/>
      <w:marRight w:val="0"/>
      <w:marTop w:val="0"/>
      <w:marBottom w:val="0"/>
      <w:divBdr>
        <w:top w:val="none" w:sz="0" w:space="0" w:color="auto"/>
        <w:left w:val="none" w:sz="0" w:space="0" w:color="auto"/>
        <w:bottom w:val="none" w:sz="0" w:space="0" w:color="auto"/>
        <w:right w:val="none" w:sz="0" w:space="0" w:color="auto"/>
      </w:divBdr>
    </w:div>
    <w:div w:id="1126118350">
      <w:bodyDiv w:val="1"/>
      <w:marLeft w:val="0"/>
      <w:marRight w:val="0"/>
      <w:marTop w:val="0"/>
      <w:marBottom w:val="0"/>
      <w:divBdr>
        <w:top w:val="none" w:sz="0" w:space="0" w:color="auto"/>
        <w:left w:val="none" w:sz="0" w:space="0" w:color="auto"/>
        <w:bottom w:val="none" w:sz="0" w:space="0" w:color="auto"/>
        <w:right w:val="none" w:sz="0" w:space="0" w:color="auto"/>
      </w:divBdr>
    </w:div>
    <w:div w:id="1202009598">
      <w:bodyDiv w:val="1"/>
      <w:marLeft w:val="0"/>
      <w:marRight w:val="0"/>
      <w:marTop w:val="0"/>
      <w:marBottom w:val="0"/>
      <w:divBdr>
        <w:top w:val="none" w:sz="0" w:space="0" w:color="auto"/>
        <w:left w:val="none" w:sz="0" w:space="0" w:color="auto"/>
        <w:bottom w:val="none" w:sz="0" w:space="0" w:color="auto"/>
        <w:right w:val="none" w:sz="0" w:space="0" w:color="auto"/>
      </w:divBdr>
    </w:div>
    <w:div w:id="1282495793">
      <w:bodyDiv w:val="1"/>
      <w:marLeft w:val="0"/>
      <w:marRight w:val="0"/>
      <w:marTop w:val="0"/>
      <w:marBottom w:val="0"/>
      <w:divBdr>
        <w:top w:val="none" w:sz="0" w:space="0" w:color="auto"/>
        <w:left w:val="none" w:sz="0" w:space="0" w:color="auto"/>
        <w:bottom w:val="none" w:sz="0" w:space="0" w:color="auto"/>
        <w:right w:val="none" w:sz="0" w:space="0" w:color="auto"/>
      </w:divBdr>
    </w:div>
    <w:div w:id="1305312871">
      <w:bodyDiv w:val="1"/>
      <w:marLeft w:val="0"/>
      <w:marRight w:val="0"/>
      <w:marTop w:val="0"/>
      <w:marBottom w:val="0"/>
      <w:divBdr>
        <w:top w:val="none" w:sz="0" w:space="0" w:color="auto"/>
        <w:left w:val="none" w:sz="0" w:space="0" w:color="auto"/>
        <w:bottom w:val="none" w:sz="0" w:space="0" w:color="auto"/>
        <w:right w:val="none" w:sz="0" w:space="0" w:color="auto"/>
      </w:divBdr>
    </w:div>
    <w:div w:id="1316683884">
      <w:bodyDiv w:val="1"/>
      <w:marLeft w:val="0"/>
      <w:marRight w:val="0"/>
      <w:marTop w:val="0"/>
      <w:marBottom w:val="0"/>
      <w:divBdr>
        <w:top w:val="none" w:sz="0" w:space="0" w:color="auto"/>
        <w:left w:val="none" w:sz="0" w:space="0" w:color="auto"/>
        <w:bottom w:val="none" w:sz="0" w:space="0" w:color="auto"/>
        <w:right w:val="none" w:sz="0" w:space="0" w:color="auto"/>
      </w:divBdr>
    </w:div>
    <w:div w:id="1691830853">
      <w:bodyDiv w:val="1"/>
      <w:marLeft w:val="0"/>
      <w:marRight w:val="0"/>
      <w:marTop w:val="0"/>
      <w:marBottom w:val="0"/>
      <w:divBdr>
        <w:top w:val="none" w:sz="0" w:space="0" w:color="auto"/>
        <w:left w:val="none" w:sz="0" w:space="0" w:color="auto"/>
        <w:bottom w:val="none" w:sz="0" w:space="0" w:color="auto"/>
        <w:right w:val="none" w:sz="0" w:space="0" w:color="auto"/>
      </w:divBdr>
    </w:div>
    <w:div w:id="1734961361">
      <w:bodyDiv w:val="1"/>
      <w:marLeft w:val="0"/>
      <w:marRight w:val="0"/>
      <w:marTop w:val="0"/>
      <w:marBottom w:val="0"/>
      <w:divBdr>
        <w:top w:val="none" w:sz="0" w:space="0" w:color="auto"/>
        <w:left w:val="none" w:sz="0" w:space="0" w:color="auto"/>
        <w:bottom w:val="none" w:sz="0" w:space="0" w:color="auto"/>
        <w:right w:val="none" w:sz="0" w:space="0" w:color="auto"/>
      </w:divBdr>
    </w:div>
    <w:div w:id="182755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hyperlink" Target="http://www3.weforum.org/docs/WEF_EN_NewEnergyArchitecturePerformanceIndex_ExecutiveSummary_2013.pdf" TargetMode="External"/><Relationship Id="rId39" Type="http://schemas.openxmlformats.org/officeDocument/2006/relationships/hyperlink" Target="https://www.bp.com/en/global/corporate/energy-economics/energy-outlook/demand-by-region.html" TargetMode="External"/><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hyperlink" Target="https://reports.weforum.org/global-energy-architecture-performance-index-2017/economies/?doing_wp_cron=1592298303.4468669891357421875000" TargetMode="External"/><Relationship Id="rId42"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hyperlink" Target="https://tradingeconomics.com/azerbaijan/competitiveness-index" TargetMode="External"/><Relationship Id="rId38" Type="http://schemas.openxmlformats.org/officeDocument/2006/relationships/hyperlink" Target="https://www.iea.org/reports/world-energy-outlook-2018" TargetMode="Externa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hyperlink" Target="https://www.weforum.org/reports/global-energy-architecture-performance-index-report-2016"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hyperlink" Target="https://www.unece.org/fileadmin/DAM/project-monitoring/unda/16_17X/A2.1_Implement_Natl_CS/Azerbaijan_SE_e.pdf" TargetMode="External"/><Relationship Id="rId37" Type="http://schemas.openxmlformats.org/officeDocument/2006/relationships/hyperlink" Target="https://www.bp.com/content/dam/bp/business-sites/en/global/corporate/pdfs/energy-economics/statistical-review/bp-stats-review-2019-full-report.pdf" TargetMode="External"/><Relationship Id="rId40" Type="http://schemas.openxmlformats.org/officeDocument/2006/relationships/hyperlink" Target="https://www.iea.org/reports/global-energy-review-2020"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hyperlink" Target="http://www3.weforum.org/docs/WEF_GlobalEnergyArchitecture_2015.pdf" TargetMode="External"/><Relationship Id="rId36" Type="http://schemas.openxmlformats.org/officeDocument/2006/relationships/hyperlink" Target="https://www.stat.gov.az/" TargetMode="External"/><Relationship Id="rId10" Type="http://schemas.openxmlformats.org/officeDocument/2006/relationships/footer" Target="footer1.xml"/><Relationship Id="rId19" Type="http://schemas.openxmlformats.org/officeDocument/2006/relationships/chart" Target="charts/chart9.xml"/><Relationship Id="rId31" Type="http://schemas.openxmlformats.org/officeDocument/2006/relationships/hyperlink" Target="http://www3.weforum.org/docs/WEF_Fostering_Effective_Energy_Transition_report_2018.pd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hyperlink" Target="https://www.accenture.com/ke-en/_acnmedia/accenture/next-gen/reassembling-industry/pdf/accenture-global-energy-architecture-performance-index-report-2014.pdf" TargetMode="External"/><Relationship Id="rId30" Type="http://schemas.openxmlformats.org/officeDocument/2006/relationships/hyperlink" Target="https://www.weforum.org/reports/global-energy-architecture-performance-index-report-2017" TargetMode="External"/><Relationship Id="rId35" Type="http://schemas.openxmlformats.org/officeDocument/2006/relationships/hyperlink" Target="Http://www.st&#1072;t.g&#1086;v.&#1072;z" TargetMode="External"/><Relationship Id="rId43"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VALEH\Energy_index\WEF\WEF%20po%20qodam-son.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VALEH\Konfer%20&#304;rkutsk-2020\gdp.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VALEH\Konfer%20&#304;rkutsk-2020\gdp.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VALEH\Konfer%20&#304;rkutsk-2020\gdp.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VALEH\Konfer%20&#304;rkutsk-2020\gdp.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VALEH\Konfer%20&#304;rkutsk-2020\gdp.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VALEH\Konfer%20&#304;rkutsk-2020\en%20techizat.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VALEH\Energy_index\WEF\WEF%20po%20qodam-so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VALEH\Energy_index\WEF\WEF%20po%20qodam-so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VALEH\Energy_index\WEF\WEF%20po%20qodam-so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VALEH\Energy_index\WEF\WEF%20po%20qodam-son.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VALEH\Energy_index\WEF\WEF%20po%20qodam-son.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VALEH\Energy_index\WEF\WEF%20po%20qodam-son.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VALEH\Energy_index\WEF\WEF%20po%20qodam-son.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VALEH\Energy_index\WEF\WEF%20po%20qodam-s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1098986486486484"/>
          <c:y val="6.7797603689144448E-2"/>
          <c:w val="0.87470833333333353"/>
          <c:h val="0.55668563192192133"/>
        </c:manualLayout>
      </c:layout>
      <c:lineChart>
        <c:grouping val="standard"/>
        <c:ser>
          <c:idx val="0"/>
          <c:order val="0"/>
          <c:tx>
            <c:strRef>
              <c:f>Лист1!$D$3</c:f>
              <c:strCache>
                <c:ptCount val="1"/>
                <c:pt idx="0">
                  <c:v>Economic growth and development</c:v>
                </c:pt>
              </c:strCache>
            </c:strRef>
          </c:tx>
          <c:spPr>
            <a:ln w="12700"/>
          </c:spPr>
          <c:marker>
            <c:symbol val="diamond"/>
            <c:size val="3"/>
          </c:marker>
          <c:cat>
            <c:numRef>
              <c:f>Лист1!$A$12:$A$16</c:f>
              <c:numCache>
                <c:formatCode>General</c:formatCode>
                <c:ptCount val="5"/>
                <c:pt idx="0">
                  <c:v>2013</c:v>
                </c:pt>
                <c:pt idx="1">
                  <c:v>2014</c:v>
                </c:pt>
                <c:pt idx="2">
                  <c:v>2015</c:v>
                </c:pt>
                <c:pt idx="3">
                  <c:v>2016</c:v>
                </c:pt>
                <c:pt idx="4">
                  <c:v>2017</c:v>
                </c:pt>
              </c:numCache>
            </c:numRef>
          </c:cat>
          <c:val>
            <c:numRef>
              <c:f>'[WEF po qodam-son.xlsx]Лист1'!$D$4,'[WEF po qodam-son.xlsx]Лист1'!$H$4,'[WEF po qodam-son.xlsx]Лист1'!$L$4,'[WEF po qodam-son.xlsx]Лист1'!$P$4,'[WEF po qodam-son.xlsx]Лист1'!$T$4</c:f>
              <c:numCache>
                <c:formatCode>0.00</c:formatCode>
                <c:ptCount val="5"/>
                <c:pt idx="0">
                  <c:v>0.57769230769230773</c:v>
                </c:pt>
                <c:pt idx="1">
                  <c:v>0.56999999999999995</c:v>
                </c:pt>
                <c:pt idx="2">
                  <c:v>0.59142857142857375</c:v>
                </c:pt>
                <c:pt idx="3">
                  <c:v>0.59035714285713947</c:v>
                </c:pt>
                <c:pt idx="4">
                  <c:v>0.61285714285714288</c:v>
                </c:pt>
              </c:numCache>
            </c:numRef>
          </c:val>
        </c:ser>
        <c:ser>
          <c:idx val="2"/>
          <c:order val="1"/>
          <c:tx>
            <c:strRef>
              <c:f>Лист1!$F$3</c:f>
              <c:strCache>
                <c:ptCount val="1"/>
                <c:pt idx="0">
                  <c:v>Energy access and security</c:v>
                </c:pt>
              </c:strCache>
            </c:strRef>
          </c:tx>
          <c:spPr>
            <a:ln w="12700"/>
          </c:spPr>
          <c:marker>
            <c:symbol val="triangle"/>
            <c:size val="3"/>
          </c:marker>
          <c:val>
            <c:numRef>
              <c:f>'[WEF po qodam-son.xlsx]Лист1'!$F$4,'[WEF po qodam-son.xlsx]Лист1'!$J$4,'[WEF po qodam-son.xlsx]Лист1'!$N$4,'[WEF po qodam-son.xlsx]Лист1'!$R$4,'[WEF po qodam-son.xlsx]Лист1'!$V$4</c:f>
              <c:numCache>
                <c:formatCode>0.00</c:formatCode>
                <c:ptCount val="5"/>
                <c:pt idx="0">
                  <c:v>0.74269230769230765</c:v>
                </c:pt>
                <c:pt idx="1">
                  <c:v>0.77000000000000235</c:v>
                </c:pt>
                <c:pt idx="2">
                  <c:v>0.82178571428571712</c:v>
                </c:pt>
                <c:pt idx="3">
                  <c:v>0.81857142857142862</c:v>
                </c:pt>
                <c:pt idx="4">
                  <c:v>0.82250000000000012</c:v>
                </c:pt>
              </c:numCache>
            </c:numRef>
          </c:val>
        </c:ser>
        <c:ser>
          <c:idx val="1"/>
          <c:order val="2"/>
          <c:tx>
            <c:strRef>
              <c:f>Лист1!$E$3</c:f>
              <c:strCache>
                <c:ptCount val="1"/>
                <c:pt idx="0">
                  <c:v>Environmental sustainability</c:v>
                </c:pt>
              </c:strCache>
            </c:strRef>
          </c:tx>
          <c:spPr>
            <a:ln w="12700"/>
          </c:spPr>
          <c:marker>
            <c:symbol val="square"/>
            <c:size val="3"/>
          </c:marker>
          <c:val>
            <c:numRef>
              <c:f>'[WEF po qodam-son.xlsx]Лист1'!$E$4,'[WEF po qodam-son.xlsx]Лист1'!$I$4,'[WEF po qodam-son.xlsx]Лист1'!$M$4,'[WEF po qodam-son.xlsx]Лист1'!$Q$4,'[WEF po qodam-son.xlsx]Лист1'!$U$4</c:f>
              <c:numCache>
                <c:formatCode>0.00</c:formatCode>
                <c:ptCount val="5"/>
                <c:pt idx="0">
                  <c:v>0.57692307692308198</c:v>
                </c:pt>
                <c:pt idx="1">
                  <c:v>0.53</c:v>
                </c:pt>
                <c:pt idx="2">
                  <c:v>0.65714285714286058</c:v>
                </c:pt>
                <c:pt idx="3">
                  <c:v>0.67750000000000277</c:v>
                </c:pt>
                <c:pt idx="4">
                  <c:v>0.67750000000000266</c:v>
                </c:pt>
              </c:numCache>
            </c:numRef>
          </c:val>
        </c:ser>
        <c:ser>
          <c:idx val="3"/>
          <c:order val="3"/>
          <c:tx>
            <c:v>Score</c:v>
          </c:tx>
          <c:spPr>
            <a:ln w="12700"/>
          </c:spPr>
          <c:marker>
            <c:symbol val="x"/>
            <c:size val="3"/>
          </c:marker>
          <c:val>
            <c:numRef>
              <c:f>'[WEF po qodam-son.xlsx]Лист1'!$C$4,'[WEF po qodam-son.xlsx]Лист1'!$G$4,'[WEF po qodam-son.xlsx]Лист1'!$K$4,'[WEF po qodam-son.xlsx]Лист1'!$O$4,'[WEF po qodam-son.xlsx]Лист1'!$S$4</c:f>
              <c:numCache>
                <c:formatCode>0.00</c:formatCode>
                <c:ptCount val="5"/>
                <c:pt idx="0">
                  <c:v>0.63192307692308292</c:v>
                </c:pt>
                <c:pt idx="1">
                  <c:v>0.62000000000000266</c:v>
                </c:pt>
                <c:pt idx="2">
                  <c:v>0.69035714285714256</c:v>
                </c:pt>
                <c:pt idx="3">
                  <c:v>0.69464285714286056</c:v>
                </c:pt>
                <c:pt idx="4">
                  <c:v>0.70321428571428557</c:v>
                </c:pt>
              </c:numCache>
            </c:numRef>
          </c:val>
        </c:ser>
        <c:marker val="1"/>
        <c:axId val="119464320"/>
        <c:axId val="129039360"/>
      </c:lineChart>
      <c:catAx>
        <c:axId val="119464320"/>
        <c:scaling>
          <c:orientation val="minMax"/>
        </c:scaling>
        <c:axPos val="b"/>
        <c:numFmt formatCode="General" sourceLinked="1"/>
        <c:tickLblPos val="nextTo"/>
        <c:txPr>
          <a:bodyPr/>
          <a:lstStyle/>
          <a:p>
            <a:pPr>
              <a:defRPr lang="ru-RU" sz="800"/>
            </a:pPr>
            <a:endParaRPr lang="en-US"/>
          </a:p>
        </c:txPr>
        <c:crossAx val="129039360"/>
        <c:crosses val="autoZero"/>
        <c:auto val="1"/>
        <c:lblAlgn val="ctr"/>
        <c:lblOffset val="100"/>
      </c:catAx>
      <c:valAx>
        <c:axId val="129039360"/>
        <c:scaling>
          <c:orientation val="minMax"/>
          <c:min val="0.30000000000000032"/>
        </c:scaling>
        <c:axPos val="l"/>
        <c:numFmt formatCode="0.0" sourceLinked="0"/>
        <c:tickLblPos val="nextTo"/>
        <c:txPr>
          <a:bodyPr/>
          <a:lstStyle/>
          <a:p>
            <a:pPr>
              <a:defRPr lang="ru-RU" sz="800"/>
            </a:pPr>
            <a:endParaRPr lang="en-US"/>
          </a:p>
        </c:txPr>
        <c:crossAx val="119464320"/>
        <c:crosses val="autoZero"/>
        <c:crossBetween val="between"/>
        <c:majorUnit val="0.1"/>
        <c:minorUnit val="2.0000000000000052E-2"/>
      </c:valAx>
    </c:plotArea>
    <c:legend>
      <c:legendPos val="b"/>
      <c:layout>
        <c:manualLayout>
          <c:xMode val="edge"/>
          <c:yMode val="edge"/>
          <c:x val="0"/>
          <c:y val="0.78189101616329659"/>
          <c:w val="0.98444069069069073"/>
          <c:h val="0.19816851216342604"/>
        </c:manualLayout>
      </c:layout>
      <c:txPr>
        <a:bodyPr/>
        <a:lstStyle/>
        <a:p>
          <a:pPr>
            <a:defRPr lang="ru-RU" b="1"/>
          </a:pPr>
          <a:endParaRPr lang="en-US"/>
        </a:p>
      </c:txPr>
    </c:legend>
    <c:plotVisOnly val="1"/>
  </c:chart>
  <c:spPr>
    <a:ln>
      <a:noFill/>
    </a:ln>
  </c:spPr>
  <c:txPr>
    <a:bodyPr/>
    <a:lstStyle/>
    <a:p>
      <a:pPr>
        <a:defRPr sz="600" b="1">
          <a:latin typeface="Times New Roman" pitchFamily="18" charset="0"/>
          <a:cs typeface="Times New Roman" pitchFamily="18" charset="0"/>
        </a:defRPr>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5.2439939939939957E-2"/>
          <c:y val="2.6587295564370311E-2"/>
          <c:w val="0.8951201201201201"/>
          <c:h val="0.81670310207794361"/>
        </c:manualLayout>
      </c:layout>
      <c:barChart>
        <c:barDir val="col"/>
        <c:grouping val="clustered"/>
        <c:ser>
          <c:idx val="0"/>
          <c:order val="0"/>
          <c:spPr>
            <a:gradFill>
              <a:gsLst>
                <a:gs pos="0">
                  <a:srgbClr val="8488C4"/>
                </a:gs>
                <a:gs pos="53000">
                  <a:srgbClr val="D4DEFF"/>
                </a:gs>
                <a:gs pos="83000">
                  <a:srgbClr val="D4DEFF"/>
                </a:gs>
                <a:gs pos="100000">
                  <a:srgbClr val="96AB94"/>
                </a:gs>
              </a:gsLst>
              <a:lin ang="5400000" scaled="0"/>
            </a:gradFill>
            <a:ln w="12700">
              <a:solidFill>
                <a:schemeClr val="accent1">
                  <a:lumMod val="60000"/>
                  <a:lumOff val="40000"/>
                </a:schemeClr>
              </a:solidFill>
            </a:ln>
            <a:effectLst>
              <a:innerShdw blurRad="63500" dist="50800" dir="16200000">
                <a:prstClr val="black">
                  <a:alpha val="50000"/>
                </a:prstClr>
              </a:innerShdw>
            </a:effectLst>
            <a:scene3d>
              <a:camera prst="orthographicFront"/>
              <a:lightRig rig="threePt" dir="t"/>
            </a:scene3d>
            <a:sp3d>
              <a:bevelT w="57150"/>
            </a:sp3d>
          </c:spPr>
          <c:dLbls>
            <c:txPr>
              <a:bodyPr/>
              <a:lstStyle/>
              <a:p>
                <a:pPr>
                  <a:defRPr lang="ru-RU" sz="700"/>
                </a:pPr>
                <a:endParaRPr lang="en-US"/>
              </a:p>
            </c:txPr>
            <c:dLblPos val="inEnd"/>
            <c:showVal val="1"/>
          </c:dLbls>
          <c:cat>
            <c:numRef>
              <c:f>Лист1!$K$4:$S$4</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Лист1!$K$10:$S$10</c:f>
              <c:numCache>
                <c:formatCode>0.00</c:formatCode>
                <c:ptCount val="9"/>
                <c:pt idx="0">
                  <c:v>9.1553195958978666</c:v>
                </c:pt>
                <c:pt idx="1">
                  <c:v>9.199243740809349</c:v>
                </c:pt>
                <c:pt idx="2">
                  <c:v>9.5824659906167824</c:v>
                </c:pt>
                <c:pt idx="3">
                  <c:v>10.320264308767674</c:v>
                </c:pt>
                <c:pt idx="4">
                  <c:v>10.805339648224953</c:v>
                </c:pt>
                <c:pt idx="5">
                  <c:v>11.032599354506095</c:v>
                </c:pt>
                <c:pt idx="6">
                  <c:v>10.805339648224953</c:v>
                </c:pt>
                <c:pt idx="7">
                  <c:v>11.025596954592665</c:v>
                </c:pt>
                <c:pt idx="8">
                  <c:v>11.403726549917566</c:v>
                </c:pt>
              </c:numCache>
            </c:numRef>
          </c:val>
        </c:ser>
        <c:gapWidth val="22"/>
        <c:axId val="194105728"/>
        <c:axId val="194107264"/>
      </c:barChart>
      <c:catAx>
        <c:axId val="194105728"/>
        <c:scaling>
          <c:orientation val="minMax"/>
        </c:scaling>
        <c:axPos val="b"/>
        <c:numFmt formatCode="General" sourceLinked="1"/>
        <c:tickLblPos val="nextTo"/>
        <c:txPr>
          <a:bodyPr/>
          <a:lstStyle/>
          <a:p>
            <a:pPr>
              <a:defRPr lang="ru-RU" sz="800"/>
            </a:pPr>
            <a:endParaRPr lang="en-US"/>
          </a:p>
        </c:txPr>
        <c:crossAx val="194107264"/>
        <c:crosses val="autoZero"/>
        <c:auto val="1"/>
        <c:lblAlgn val="ctr"/>
        <c:lblOffset val="100"/>
      </c:catAx>
      <c:valAx>
        <c:axId val="194107264"/>
        <c:scaling>
          <c:orientation val="minMax"/>
        </c:scaling>
        <c:delete val="1"/>
        <c:axPos val="l"/>
        <c:numFmt formatCode="0" sourceLinked="0"/>
        <c:tickLblPos val="none"/>
        <c:crossAx val="194105728"/>
        <c:crosses val="autoZero"/>
        <c:crossBetween val="between"/>
      </c:valAx>
    </c:plotArea>
    <c:plotVisOnly val="1"/>
  </c:chart>
  <c:spPr>
    <a:ln>
      <a:noFill/>
    </a:ln>
  </c:spPr>
  <c:txPr>
    <a:bodyPr/>
    <a:lstStyle/>
    <a:p>
      <a:pPr>
        <a:defRPr sz="600" b="1">
          <a:latin typeface="Times New Roman" pitchFamily="18" charset="0"/>
          <a:cs typeface="Times New Roman" pitchFamily="18" charset="0"/>
        </a:defRPr>
      </a:pPr>
      <a:endParaRPr lang="en-U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4334722222222224"/>
          <c:y val="2.6666666666666672E-2"/>
          <c:w val="0.78106193693693682"/>
          <c:h val="0.68831653543307092"/>
        </c:manualLayout>
      </c:layout>
      <c:lineChart>
        <c:grouping val="standard"/>
        <c:ser>
          <c:idx val="0"/>
          <c:order val="0"/>
          <c:marker>
            <c:symbol val="none"/>
          </c:marker>
          <c:cat>
            <c:numRef>
              <c:f>Лист5!$D$8:$D$32</c:f>
              <c:numCache>
                <c:formatCode>dd/mm/yyyy</c:formatCode>
                <c:ptCount val="25"/>
                <c:pt idx="0">
                  <c:v>39414</c:v>
                </c:pt>
                <c:pt idx="1">
                  <c:v>39780</c:v>
                </c:pt>
                <c:pt idx="2">
                  <c:v>40145</c:v>
                </c:pt>
                <c:pt idx="3">
                  <c:v>40510</c:v>
                </c:pt>
                <c:pt idx="4">
                  <c:v>40875</c:v>
                </c:pt>
                <c:pt idx="5">
                  <c:v>41241</c:v>
                </c:pt>
                <c:pt idx="6">
                  <c:v>41606</c:v>
                </c:pt>
                <c:pt idx="7">
                  <c:v>41971</c:v>
                </c:pt>
                <c:pt idx="8">
                  <c:v>42336</c:v>
                </c:pt>
                <c:pt idx="9">
                  <c:v>42702</c:v>
                </c:pt>
                <c:pt idx="10">
                  <c:v>43067</c:v>
                </c:pt>
                <c:pt idx="11">
                  <c:v>43432</c:v>
                </c:pt>
                <c:pt idx="12">
                  <c:v>39049</c:v>
                </c:pt>
                <c:pt idx="13">
                  <c:v>39453</c:v>
                </c:pt>
                <c:pt idx="14">
                  <c:v>39819</c:v>
                </c:pt>
                <c:pt idx="15">
                  <c:v>40184</c:v>
                </c:pt>
                <c:pt idx="16">
                  <c:v>40549</c:v>
                </c:pt>
                <c:pt idx="17">
                  <c:v>40914</c:v>
                </c:pt>
                <c:pt idx="18">
                  <c:v>41280</c:v>
                </c:pt>
                <c:pt idx="19">
                  <c:v>41645</c:v>
                </c:pt>
                <c:pt idx="20">
                  <c:v>42010</c:v>
                </c:pt>
                <c:pt idx="21">
                  <c:v>42375</c:v>
                </c:pt>
                <c:pt idx="22">
                  <c:v>42702</c:v>
                </c:pt>
                <c:pt idx="23">
                  <c:v>43067</c:v>
                </c:pt>
                <c:pt idx="24">
                  <c:v>43432</c:v>
                </c:pt>
              </c:numCache>
            </c:numRef>
          </c:cat>
          <c:val>
            <c:numRef>
              <c:f>Лист5!$E$8:$E$32</c:f>
              <c:numCache>
                <c:formatCode>General</c:formatCode>
                <c:ptCount val="25"/>
                <c:pt idx="0">
                  <c:v>7.0000000000000021E-2</c:v>
                </c:pt>
                <c:pt idx="1">
                  <c:v>7.0000000000000021E-2</c:v>
                </c:pt>
                <c:pt idx="2">
                  <c:v>7.0000000000000021E-2</c:v>
                </c:pt>
                <c:pt idx="3">
                  <c:v>7.0000000000000021E-2</c:v>
                </c:pt>
                <c:pt idx="4">
                  <c:v>7.0000000000000021E-2</c:v>
                </c:pt>
                <c:pt idx="5">
                  <c:v>7.0000000000000021E-2</c:v>
                </c:pt>
                <c:pt idx="6">
                  <c:v>7.0000000000000021E-2</c:v>
                </c:pt>
                <c:pt idx="7">
                  <c:v>7.0000000000000021E-2</c:v>
                </c:pt>
                <c:pt idx="8">
                  <c:v>7.0000000000000021E-2</c:v>
                </c:pt>
                <c:pt idx="9">
                  <c:v>7.0000000000000021E-2</c:v>
                </c:pt>
                <c:pt idx="10">
                  <c:v>5.3000000000000012E-2</c:v>
                </c:pt>
                <c:pt idx="11">
                  <c:v>5.3000000000000012E-2</c:v>
                </c:pt>
                <c:pt idx="12">
                  <c:v>7.0000000000000021E-2</c:v>
                </c:pt>
                <c:pt idx="13">
                  <c:v>7.0000000000000021E-2</c:v>
                </c:pt>
                <c:pt idx="14">
                  <c:v>7.0000000000000021E-2</c:v>
                </c:pt>
                <c:pt idx="15">
                  <c:v>7.0000000000000021E-2</c:v>
                </c:pt>
                <c:pt idx="16">
                  <c:v>7.0000000000000021E-2</c:v>
                </c:pt>
                <c:pt idx="17">
                  <c:v>7.0000000000000021E-2</c:v>
                </c:pt>
                <c:pt idx="18">
                  <c:v>7.0000000000000021E-2</c:v>
                </c:pt>
                <c:pt idx="19">
                  <c:v>7.0000000000000021E-2</c:v>
                </c:pt>
                <c:pt idx="20">
                  <c:v>7.0000000000000021E-2</c:v>
                </c:pt>
                <c:pt idx="21">
                  <c:v>7.0000000000000021E-2</c:v>
                </c:pt>
                <c:pt idx="22">
                  <c:v>5.3000000000000012E-2</c:v>
                </c:pt>
                <c:pt idx="23">
                  <c:v>5.3000000000000012E-2</c:v>
                </c:pt>
                <c:pt idx="24">
                  <c:v>5.3000000000000012E-2</c:v>
                </c:pt>
              </c:numCache>
            </c:numRef>
          </c:val>
        </c:ser>
        <c:marker val="1"/>
        <c:axId val="194149760"/>
        <c:axId val="194179456"/>
      </c:lineChart>
      <c:dateAx>
        <c:axId val="194149760"/>
        <c:scaling>
          <c:orientation val="minMax"/>
        </c:scaling>
        <c:axPos val="b"/>
        <c:numFmt formatCode="dd/mm/yyyy" sourceLinked="1"/>
        <c:tickLblPos val="nextTo"/>
        <c:txPr>
          <a:bodyPr/>
          <a:lstStyle/>
          <a:p>
            <a:pPr>
              <a:defRPr lang="ru-RU" sz="600"/>
            </a:pPr>
            <a:endParaRPr lang="en-US"/>
          </a:p>
        </c:txPr>
        <c:crossAx val="194179456"/>
        <c:crosses val="autoZero"/>
        <c:auto val="1"/>
        <c:lblOffset val="100"/>
      </c:dateAx>
      <c:valAx>
        <c:axId val="194179456"/>
        <c:scaling>
          <c:orientation val="minMax"/>
        </c:scaling>
        <c:axPos val="l"/>
        <c:numFmt formatCode="General" sourceLinked="1"/>
        <c:tickLblPos val="nextTo"/>
        <c:txPr>
          <a:bodyPr/>
          <a:lstStyle/>
          <a:p>
            <a:pPr>
              <a:defRPr lang="ru-RU" sz="700"/>
            </a:pPr>
            <a:endParaRPr lang="en-US"/>
          </a:p>
        </c:txPr>
        <c:crossAx val="194149760"/>
        <c:crosses val="autoZero"/>
        <c:crossBetween val="between"/>
      </c:valAx>
    </c:plotArea>
    <c:plotVisOnly val="1"/>
  </c:chart>
  <c:spPr>
    <a:ln>
      <a:noFill/>
    </a:ln>
  </c:spPr>
  <c:txPr>
    <a:bodyPr/>
    <a:lstStyle/>
    <a:p>
      <a:pPr>
        <a:defRPr sz="600" b="1">
          <a:latin typeface="Times New Roman" pitchFamily="18" charset="0"/>
          <a:cs typeface="Times New Roman" pitchFamily="18" charset="0"/>
        </a:defRPr>
      </a:pPr>
      <a:endParaRPr lang="en-U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3.0555555555555582E-2"/>
          <c:y val="2.8102201257861632E-2"/>
          <c:w val="0.9388888888888911"/>
          <c:h val="0.83423689727463313"/>
        </c:manualLayout>
      </c:layout>
      <c:barChart>
        <c:barDir val="col"/>
        <c:grouping val="clustered"/>
        <c:ser>
          <c:idx val="0"/>
          <c:order val="0"/>
          <c:spPr>
            <a:gradFill>
              <a:gsLst>
                <a:gs pos="0">
                  <a:srgbClr val="8488C4"/>
                </a:gs>
                <a:gs pos="53000">
                  <a:srgbClr val="D4DEFF"/>
                </a:gs>
                <a:gs pos="83000">
                  <a:srgbClr val="D4DEFF"/>
                </a:gs>
                <a:gs pos="100000">
                  <a:srgbClr val="96AB94"/>
                </a:gs>
              </a:gsLst>
              <a:lin ang="5400000" scaled="0"/>
            </a:gradFill>
            <a:ln>
              <a:solidFill>
                <a:srgbClr val="4F81BD">
                  <a:lumMod val="60000"/>
                  <a:lumOff val="40000"/>
                </a:srgbClr>
              </a:solidFill>
            </a:ln>
            <a:effectLst>
              <a:innerShdw blurRad="63500" dist="50800" dir="16200000">
                <a:prstClr val="black">
                  <a:alpha val="50000"/>
                </a:prstClr>
              </a:innerShdw>
            </a:effectLst>
            <a:scene3d>
              <a:camera prst="orthographicFront"/>
              <a:lightRig rig="threePt" dir="t"/>
            </a:scene3d>
            <a:sp3d>
              <a:bevelT w="57150"/>
            </a:sp3d>
          </c:spPr>
          <c:dLbls>
            <c:txPr>
              <a:bodyPr/>
              <a:lstStyle/>
              <a:p>
                <a:pPr>
                  <a:defRPr lang="ru-RU" sz="700" b="1"/>
                </a:pPr>
                <a:endParaRPr lang="en-US"/>
              </a:p>
            </c:txPr>
            <c:dLblPos val="inEnd"/>
            <c:showVal val="1"/>
          </c:dLbls>
          <c:cat>
            <c:numRef>
              <c:f>tullanti!$Q$25:$Y$25</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tullanti!$Q$33:$Y$33</c:f>
              <c:numCache>
                <c:formatCode>0.00</c:formatCode>
                <c:ptCount val="9"/>
                <c:pt idx="0">
                  <c:v>0.40655285854005518</c:v>
                </c:pt>
                <c:pt idx="1">
                  <c:v>0.8812327819911947</c:v>
                </c:pt>
                <c:pt idx="2">
                  <c:v>0.53036783575705448</c:v>
                </c:pt>
                <c:pt idx="3">
                  <c:v>0.16566023619943426</c:v>
                </c:pt>
                <c:pt idx="4">
                  <c:v>0.15373901298920606</c:v>
                </c:pt>
                <c:pt idx="5">
                  <c:v>0.22620660898571868</c:v>
                </c:pt>
                <c:pt idx="6">
                  <c:v>0.10412545334652203</c:v>
                </c:pt>
                <c:pt idx="7">
                  <c:v>0.3412844036697259</c:v>
                </c:pt>
                <c:pt idx="8">
                  <c:v>0.27247653590083115</c:v>
                </c:pt>
              </c:numCache>
            </c:numRef>
          </c:val>
        </c:ser>
        <c:dLbls>
          <c:showVal val="1"/>
        </c:dLbls>
        <c:gapWidth val="40"/>
        <c:axId val="196260992"/>
        <c:axId val="196262528"/>
      </c:barChart>
      <c:catAx>
        <c:axId val="196260992"/>
        <c:scaling>
          <c:orientation val="minMax"/>
        </c:scaling>
        <c:axPos val="b"/>
        <c:numFmt formatCode="General" sourceLinked="1"/>
        <c:tickLblPos val="nextTo"/>
        <c:txPr>
          <a:bodyPr/>
          <a:lstStyle/>
          <a:p>
            <a:pPr>
              <a:defRPr lang="ru-RU" sz="800" b="1"/>
            </a:pPr>
            <a:endParaRPr lang="en-US"/>
          </a:p>
        </c:txPr>
        <c:crossAx val="196262528"/>
        <c:crosses val="autoZero"/>
        <c:auto val="1"/>
        <c:lblAlgn val="ctr"/>
        <c:lblOffset val="100"/>
      </c:catAx>
      <c:valAx>
        <c:axId val="196262528"/>
        <c:scaling>
          <c:orientation val="minMax"/>
        </c:scaling>
        <c:delete val="1"/>
        <c:axPos val="l"/>
        <c:numFmt formatCode="0.00" sourceLinked="1"/>
        <c:tickLblPos val="none"/>
        <c:crossAx val="196260992"/>
        <c:crosses val="autoZero"/>
        <c:crossBetween val="between"/>
      </c:valAx>
    </c:plotArea>
    <c:plotVisOnly val="1"/>
  </c:chart>
  <c:spPr>
    <a:ln>
      <a:noFill/>
    </a:ln>
  </c:spPr>
  <c:txPr>
    <a:bodyPr/>
    <a:lstStyle/>
    <a:p>
      <a:pPr>
        <a:defRPr sz="600">
          <a:latin typeface="Times New Roman" pitchFamily="18" charset="0"/>
          <a:cs typeface="Times New Roman" pitchFamily="18" charset="0"/>
        </a:defRPr>
      </a:pPr>
      <a:endParaRPr lang="en-US"/>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3.0555555555555582E-2"/>
          <c:y val="2.770440251572328E-2"/>
          <c:w val="0.93888888888889077"/>
          <c:h val="0.83441771488469607"/>
        </c:manualLayout>
      </c:layout>
      <c:barChart>
        <c:barDir val="col"/>
        <c:grouping val="clustered"/>
        <c:ser>
          <c:idx val="0"/>
          <c:order val="0"/>
          <c:spPr>
            <a:gradFill>
              <a:gsLst>
                <a:gs pos="0">
                  <a:srgbClr val="8488C4"/>
                </a:gs>
                <a:gs pos="53000">
                  <a:srgbClr val="D4DEFF"/>
                </a:gs>
                <a:gs pos="83000">
                  <a:srgbClr val="D4DEFF"/>
                </a:gs>
                <a:gs pos="100000">
                  <a:srgbClr val="96AB94"/>
                </a:gs>
              </a:gsLst>
              <a:lin ang="5400000" scaled="0"/>
            </a:gradFill>
            <a:effectLst>
              <a:innerShdw blurRad="63500" dist="50800" dir="16200000">
                <a:prstClr val="black">
                  <a:alpha val="50000"/>
                </a:prstClr>
              </a:innerShdw>
            </a:effectLst>
            <a:scene3d>
              <a:camera prst="orthographicFront"/>
              <a:lightRig rig="threePt" dir="t"/>
            </a:scene3d>
            <a:sp3d>
              <a:bevelT w="57150"/>
            </a:sp3d>
          </c:spPr>
          <c:dLbls>
            <c:dLbl>
              <c:idx val="4"/>
              <c:layout>
                <c:manualLayout>
                  <c:x val="0"/>
                  <c:y val="-4.0000000000000022E-2"/>
                </c:manualLayout>
              </c:layout>
              <c:dLblPos val="inEnd"/>
              <c:showVal val="1"/>
            </c:dLbl>
            <c:dLbl>
              <c:idx val="5"/>
              <c:layout>
                <c:manualLayout>
                  <c:x val="-8.7398890260462312E-17"/>
                  <c:y val="-6.0000000000000032E-2"/>
                </c:manualLayout>
              </c:layout>
              <c:dLblPos val="inEnd"/>
              <c:showVal val="1"/>
            </c:dLbl>
            <c:dLbl>
              <c:idx val="6"/>
              <c:layout>
                <c:manualLayout>
                  <c:x val="-4.7672672672673553E-3"/>
                  <c:y val="-4.6666666666666683E-2"/>
                </c:manualLayout>
              </c:layout>
              <c:dLblPos val="inEnd"/>
              <c:showVal val="1"/>
            </c:dLbl>
            <c:txPr>
              <a:bodyPr/>
              <a:lstStyle/>
              <a:p>
                <a:pPr>
                  <a:defRPr lang="ru-RU" sz="700"/>
                </a:pPr>
                <a:endParaRPr lang="en-US"/>
              </a:p>
            </c:txPr>
            <c:dLblPos val="inEnd"/>
            <c:showVal val="1"/>
          </c:dLbls>
          <c:cat>
            <c:numRef>
              <c:f>tullanti!$R$25:$Y$25</c:f>
              <c:numCache>
                <c:formatCode>General</c:formatCode>
                <c:ptCount val="8"/>
                <c:pt idx="0">
                  <c:v>2011</c:v>
                </c:pt>
                <c:pt idx="1">
                  <c:v>2012</c:v>
                </c:pt>
                <c:pt idx="2">
                  <c:v>2013</c:v>
                </c:pt>
                <c:pt idx="3">
                  <c:v>2014</c:v>
                </c:pt>
                <c:pt idx="4">
                  <c:v>2015</c:v>
                </c:pt>
                <c:pt idx="5">
                  <c:v>2016</c:v>
                </c:pt>
                <c:pt idx="6">
                  <c:v>2017</c:v>
                </c:pt>
                <c:pt idx="7">
                  <c:v>2018</c:v>
                </c:pt>
              </c:numCache>
            </c:numRef>
          </c:cat>
          <c:val>
            <c:numRef>
              <c:f>tullanti!$R$35:$Y$35</c:f>
              <c:numCache>
                <c:formatCode>0.00</c:formatCode>
                <c:ptCount val="8"/>
                <c:pt idx="0">
                  <c:v>0.68754596042190297</c:v>
                </c:pt>
                <c:pt idx="1">
                  <c:v>0.87591904797998965</c:v>
                </c:pt>
                <c:pt idx="2">
                  <c:v>0.55841393683535456</c:v>
                </c:pt>
                <c:pt idx="3">
                  <c:v>0.21205854111489827</c:v>
                </c:pt>
                <c:pt idx="4">
                  <c:v>7.4648180965287178E-2</c:v>
                </c:pt>
                <c:pt idx="5">
                  <c:v>8.871167161226505E-2</c:v>
                </c:pt>
                <c:pt idx="6">
                  <c:v>7.4067278287461832E-2</c:v>
                </c:pt>
                <c:pt idx="7">
                  <c:v>3.8613471272264402E-2</c:v>
                </c:pt>
              </c:numCache>
            </c:numRef>
          </c:val>
        </c:ser>
        <c:dLbls>
          <c:showVal val="1"/>
        </c:dLbls>
        <c:gapWidth val="32"/>
        <c:axId val="197051520"/>
        <c:axId val="197053824"/>
      </c:barChart>
      <c:catAx>
        <c:axId val="197051520"/>
        <c:scaling>
          <c:orientation val="minMax"/>
        </c:scaling>
        <c:axPos val="b"/>
        <c:numFmt formatCode="General" sourceLinked="1"/>
        <c:tickLblPos val="nextTo"/>
        <c:txPr>
          <a:bodyPr/>
          <a:lstStyle/>
          <a:p>
            <a:pPr>
              <a:defRPr lang="ru-RU"/>
            </a:pPr>
            <a:endParaRPr lang="en-US"/>
          </a:p>
        </c:txPr>
        <c:crossAx val="197053824"/>
        <c:crosses val="autoZero"/>
        <c:auto val="1"/>
        <c:lblAlgn val="ctr"/>
        <c:lblOffset val="100"/>
      </c:catAx>
      <c:valAx>
        <c:axId val="197053824"/>
        <c:scaling>
          <c:orientation val="minMax"/>
        </c:scaling>
        <c:delete val="1"/>
        <c:axPos val="l"/>
        <c:numFmt formatCode="0.00" sourceLinked="1"/>
        <c:tickLblPos val="none"/>
        <c:crossAx val="197051520"/>
        <c:crosses val="autoZero"/>
        <c:crossBetween val="between"/>
      </c:valAx>
    </c:plotArea>
    <c:plotVisOnly val="1"/>
  </c:chart>
  <c:spPr>
    <a:ln>
      <a:noFill/>
    </a:ln>
  </c:spPr>
  <c:txPr>
    <a:bodyPr/>
    <a:lstStyle/>
    <a:p>
      <a:pPr>
        <a:defRPr sz="600" b="1">
          <a:latin typeface="Times New Roman" pitchFamily="18" charset="0"/>
          <a:cs typeface="Times New Roman" pitchFamily="18" charset="0"/>
        </a:defRPr>
      </a:pPr>
      <a:endParaRPr lang="en-US"/>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1.5795420420420422E-2"/>
          <c:y val="2.8101677148846965E-2"/>
          <c:w val="0.98225262762762577"/>
          <c:h val="0.82152358490566013"/>
        </c:manualLayout>
      </c:layout>
      <c:barChart>
        <c:barDir val="col"/>
        <c:grouping val="clustered"/>
        <c:ser>
          <c:idx val="0"/>
          <c:order val="0"/>
          <c:spPr>
            <a:gradFill>
              <a:gsLst>
                <a:gs pos="0">
                  <a:srgbClr val="8488C4"/>
                </a:gs>
                <a:gs pos="53000">
                  <a:srgbClr val="D4DEFF"/>
                </a:gs>
                <a:gs pos="83000">
                  <a:srgbClr val="D4DEFF"/>
                </a:gs>
                <a:gs pos="100000">
                  <a:srgbClr val="96AB94"/>
                </a:gs>
              </a:gsLst>
              <a:lin ang="5400000" scaled="0"/>
            </a:gradFill>
            <a:ln>
              <a:solidFill>
                <a:srgbClr val="4F81BD">
                  <a:lumMod val="60000"/>
                  <a:lumOff val="40000"/>
                </a:srgbClr>
              </a:solidFill>
            </a:ln>
            <a:effectLst>
              <a:innerShdw blurRad="63500" dist="50800" dir="16200000">
                <a:prstClr val="black">
                  <a:alpha val="50000"/>
                </a:prstClr>
              </a:innerShdw>
            </a:effectLst>
            <a:scene3d>
              <a:camera prst="orthographicFront"/>
              <a:lightRig rig="threePt" dir="t"/>
            </a:scene3d>
            <a:sp3d>
              <a:bevelT w="57150"/>
            </a:sp3d>
          </c:spPr>
          <c:dLbls>
            <c:txPr>
              <a:bodyPr/>
              <a:lstStyle/>
              <a:p>
                <a:pPr>
                  <a:defRPr lang="ru-RU" sz="500" b="1"/>
                </a:pPr>
                <a:endParaRPr lang="en-US"/>
              </a:p>
            </c:txPr>
            <c:dLblPos val="inEnd"/>
            <c:showVal val="1"/>
          </c:dLbls>
          <c:cat>
            <c:numRef>
              <c:f>tullanti!$Q$25:$Y$25</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tullanti!$C$21:$K$21</c:f>
              <c:numCache>
                <c:formatCode>0.00</c:formatCode>
                <c:ptCount val="9"/>
                <c:pt idx="0">
                  <c:v>526.22282202030999</c:v>
                </c:pt>
                <c:pt idx="1">
                  <c:v>553.54677244505763</c:v>
                </c:pt>
                <c:pt idx="2">
                  <c:v>548.94069514529247</c:v>
                </c:pt>
                <c:pt idx="3">
                  <c:v>493.34119339396432</c:v>
                </c:pt>
                <c:pt idx="4">
                  <c:v>480.48619899950097</c:v>
                </c:pt>
                <c:pt idx="5">
                  <c:v>474.96680364057613</c:v>
                </c:pt>
                <c:pt idx="6">
                  <c:v>459.58830825274686</c:v>
                </c:pt>
                <c:pt idx="7">
                  <c:v>482.40103544687673</c:v>
                </c:pt>
                <c:pt idx="8">
                  <c:v>438.91241054016763</c:v>
                </c:pt>
              </c:numCache>
            </c:numRef>
          </c:val>
        </c:ser>
        <c:dLbls>
          <c:showVal val="1"/>
        </c:dLbls>
        <c:gapWidth val="42"/>
        <c:axId val="206092160"/>
        <c:axId val="206100736"/>
      </c:barChart>
      <c:catAx>
        <c:axId val="206092160"/>
        <c:scaling>
          <c:orientation val="minMax"/>
        </c:scaling>
        <c:axPos val="b"/>
        <c:numFmt formatCode="General" sourceLinked="1"/>
        <c:tickLblPos val="nextTo"/>
        <c:txPr>
          <a:bodyPr/>
          <a:lstStyle/>
          <a:p>
            <a:pPr>
              <a:defRPr lang="ru-RU" sz="800" b="1"/>
            </a:pPr>
            <a:endParaRPr lang="en-US"/>
          </a:p>
        </c:txPr>
        <c:crossAx val="206100736"/>
        <c:crosses val="autoZero"/>
        <c:auto val="1"/>
        <c:lblAlgn val="ctr"/>
        <c:lblOffset val="100"/>
      </c:catAx>
      <c:valAx>
        <c:axId val="206100736"/>
        <c:scaling>
          <c:orientation val="minMax"/>
        </c:scaling>
        <c:delete val="1"/>
        <c:axPos val="l"/>
        <c:numFmt formatCode="0.00" sourceLinked="1"/>
        <c:tickLblPos val="none"/>
        <c:crossAx val="206092160"/>
        <c:crosses val="autoZero"/>
        <c:crossBetween val="between"/>
      </c:valAx>
    </c:plotArea>
    <c:plotVisOnly val="1"/>
  </c:chart>
  <c:spPr>
    <a:ln>
      <a:noFill/>
    </a:ln>
  </c:spPr>
  <c:txPr>
    <a:bodyPr/>
    <a:lstStyle/>
    <a:p>
      <a:pPr>
        <a:defRPr sz="600">
          <a:latin typeface="Times New Roman" pitchFamily="18" charset="0"/>
          <a:cs typeface="Times New Roman" pitchFamily="18" charset="0"/>
        </a:defRPr>
      </a:pPr>
      <a:endParaRPr lang="en-US"/>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
          <c:y val="3.9122597852289706E-2"/>
          <c:w val="0.95421476802439553"/>
          <c:h val="0.80416771777256957"/>
        </c:manualLayout>
      </c:layout>
      <c:barChart>
        <c:barDir val="col"/>
        <c:grouping val="clustered"/>
        <c:ser>
          <c:idx val="0"/>
          <c:order val="0"/>
          <c:spPr>
            <a:gradFill>
              <a:gsLst>
                <a:gs pos="0">
                  <a:srgbClr val="8488C4"/>
                </a:gs>
                <a:gs pos="53000">
                  <a:srgbClr val="D4DEFF"/>
                </a:gs>
                <a:gs pos="83000">
                  <a:srgbClr val="D4DEFF"/>
                </a:gs>
                <a:gs pos="100000">
                  <a:srgbClr val="96AB94"/>
                </a:gs>
              </a:gsLst>
              <a:lin ang="5400000" scaled="0"/>
            </a:gradFill>
            <a:effectLst>
              <a:innerShdw blurRad="63500" dist="50800" dir="16200000">
                <a:prstClr val="black">
                  <a:alpha val="50000"/>
                </a:prstClr>
              </a:innerShdw>
            </a:effectLst>
            <a:scene3d>
              <a:camera prst="orthographicFront"/>
              <a:lightRig rig="threePt" dir="t"/>
            </a:scene3d>
            <a:sp3d>
              <a:bevelT w="57150"/>
            </a:sp3d>
          </c:spPr>
          <c:dLbls>
            <c:txPr>
              <a:bodyPr/>
              <a:lstStyle/>
              <a:p>
                <a:pPr>
                  <a:defRPr lang="ru-RU" sz="700"/>
                </a:pPr>
                <a:endParaRPr lang="en-US"/>
              </a:p>
            </c:txPr>
            <c:dLblPos val="inEnd"/>
            <c:showVal val="1"/>
          </c:dLbls>
          <c:cat>
            <c:numRef>
              <c:f>Лист2!$C$17:$K$17</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Лист2!$C$20:$K$20</c:f>
              <c:numCache>
                <c:formatCode>General</c:formatCode>
                <c:ptCount val="9"/>
                <c:pt idx="0">
                  <c:v>8.620000000000001</c:v>
                </c:pt>
                <c:pt idx="1">
                  <c:v>7.75</c:v>
                </c:pt>
                <c:pt idx="2">
                  <c:v>7.0400000000000063</c:v>
                </c:pt>
                <c:pt idx="3">
                  <c:v>6.2900000000000063</c:v>
                </c:pt>
                <c:pt idx="4">
                  <c:v>5.5600000000000005</c:v>
                </c:pt>
                <c:pt idx="5">
                  <c:v>4.9000000000000083</c:v>
                </c:pt>
                <c:pt idx="6">
                  <c:v>4.4599999999999937</c:v>
                </c:pt>
                <c:pt idx="7">
                  <c:v>4</c:v>
                </c:pt>
                <c:pt idx="8">
                  <c:v>3.5</c:v>
                </c:pt>
              </c:numCache>
            </c:numRef>
          </c:val>
        </c:ser>
        <c:gapWidth val="38"/>
        <c:axId val="207723904"/>
        <c:axId val="207762176"/>
      </c:barChart>
      <c:catAx>
        <c:axId val="207723904"/>
        <c:scaling>
          <c:orientation val="minMax"/>
        </c:scaling>
        <c:axPos val="b"/>
        <c:numFmt formatCode="General" sourceLinked="1"/>
        <c:tickLblPos val="nextTo"/>
        <c:txPr>
          <a:bodyPr/>
          <a:lstStyle/>
          <a:p>
            <a:pPr>
              <a:defRPr lang="ru-RU" sz="800"/>
            </a:pPr>
            <a:endParaRPr lang="en-US"/>
          </a:p>
        </c:txPr>
        <c:crossAx val="207762176"/>
        <c:crosses val="autoZero"/>
        <c:auto val="1"/>
        <c:lblAlgn val="ctr"/>
        <c:lblOffset val="100"/>
      </c:catAx>
      <c:valAx>
        <c:axId val="207762176"/>
        <c:scaling>
          <c:orientation val="minMax"/>
        </c:scaling>
        <c:delete val="1"/>
        <c:axPos val="l"/>
        <c:numFmt formatCode="General" sourceLinked="1"/>
        <c:tickLblPos val="none"/>
        <c:crossAx val="207723904"/>
        <c:crosses val="autoZero"/>
        <c:crossBetween val="between"/>
      </c:valAx>
    </c:plotArea>
    <c:plotVisOnly val="1"/>
  </c:chart>
  <c:spPr>
    <a:ln>
      <a:noFill/>
    </a:ln>
  </c:spPr>
  <c:txPr>
    <a:bodyPr/>
    <a:lstStyle/>
    <a:p>
      <a:pPr>
        <a:defRPr sz="600" b="1">
          <a:latin typeface="Times New Roman" pitchFamily="18" charset="0"/>
          <a:cs typeface="Times New Roman"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3959346846846926"/>
          <c:y val="7.4943201058048942E-2"/>
          <c:w val="0.80796659159159168"/>
          <c:h val="0.58277415400847965"/>
        </c:manualLayout>
      </c:layout>
      <c:lineChart>
        <c:grouping val="standard"/>
        <c:ser>
          <c:idx val="0"/>
          <c:order val="0"/>
          <c:tx>
            <c:strRef>
              <c:f>Лист1!$D$3</c:f>
              <c:strCache>
                <c:ptCount val="1"/>
                <c:pt idx="0">
                  <c:v>Economic growth and development</c:v>
                </c:pt>
              </c:strCache>
            </c:strRef>
          </c:tx>
          <c:spPr>
            <a:ln w="12700"/>
          </c:spPr>
          <c:marker>
            <c:symbol val="diamond"/>
            <c:size val="3"/>
          </c:marker>
          <c:cat>
            <c:numRef>
              <c:f>Лист1!$A$12:$A$16</c:f>
              <c:numCache>
                <c:formatCode>General</c:formatCode>
                <c:ptCount val="5"/>
                <c:pt idx="0">
                  <c:v>2013</c:v>
                </c:pt>
                <c:pt idx="1">
                  <c:v>2014</c:v>
                </c:pt>
                <c:pt idx="2">
                  <c:v>2015</c:v>
                </c:pt>
                <c:pt idx="3">
                  <c:v>2016</c:v>
                </c:pt>
                <c:pt idx="4">
                  <c:v>2017</c:v>
                </c:pt>
              </c:numCache>
            </c:numRef>
          </c:cat>
          <c:val>
            <c:numRef>
              <c:f>'[WEF po qodam-son.xlsx]Лист1'!$D$5,'[WEF po qodam-son.xlsx]Лист1'!$H$5,'[WEF po qodam-son.xlsx]Лист1'!$L$5,'[WEF po qodam-son.xlsx]Лист1'!$P$5,'[WEF po qodam-son.xlsx]Лист1'!$T$5</c:f>
              <c:numCache>
                <c:formatCode>0.00</c:formatCode>
                <c:ptCount val="5"/>
                <c:pt idx="0">
                  <c:v>0.50909090909090859</c:v>
                </c:pt>
                <c:pt idx="1">
                  <c:v>0.48000000000000032</c:v>
                </c:pt>
                <c:pt idx="2">
                  <c:v>0.5258333333333336</c:v>
                </c:pt>
                <c:pt idx="3">
                  <c:v>0.50769230769230755</c:v>
                </c:pt>
                <c:pt idx="4">
                  <c:v>0.52923076923076573</c:v>
                </c:pt>
              </c:numCache>
            </c:numRef>
          </c:val>
        </c:ser>
        <c:ser>
          <c:idx val="2"/>
          <c:order val="1"/>
          <c:tx>
            <c:strRef>
              <c:f>Лист1!$F$3</c:f>
              <c:strCache>
                <c:ptCount val="1"/>
                <c:pt idx="0">
                  <c:v>Energy access and security</c:v>
                </c:pt>
              </c:strCache>
            </c:strRef>
          </c:tx>
          <c:spPr>
            <a:ln w="12700"/>
          </c:spPr>
          <c:marker>
            <c:symbol val="triangle"/>
            <c:size val="3"/>
          </c:marker>
          <c:val>
            <c:numRef>
              <c:f>'[WEF po qodam-son.xlsx]Лист1'!$F$5,'[WEF po qodam-son.xlsx]Лист1'!$J$5,'[WEF po qodam-son.xlsx]Лист1'!$N$5,'[WEF po qodam-son.xlsx]Лист1'!$R$5,'[WEF po qodam-son.xlsx]Лист1'!$V$5</c:f>
              <c:numCache>
                <c:formatCode>0.00</c:formatCode>
                <c:ptCount val="5"/>
                <c:pt idx="0">
                  <c:v>0.5945454545454546</c:v>
                </c:pt>
                <c:pt idx="1">
                  <c:v>0.630000000000003</c:v>
                </c:pt>
                <c:pt idx="2">
                  <c:v>0.66583333333333683</c:v>
                </c:pt>
                <c:pt idx="3">
                  <c:v>0.65384615384615385</c:v>
                </c:pt>
                <c:pt idx="4">
                  <c:v>0.65615384615385086</c:v>
                </c:pt>
              </c:numCache>
            </c:numRef>
          </c:val>
        </c:ser>
        <c:ser>
          <c:idx val="1"/>
          <c:order val="2"/>
          <c:tx>
            <c:strRef>
              <c:f>Лист1!$E$3</c:f>
              <c:strCache>
                <c:ptCount val="1"/>
                <c:pt idx="0">
                  <c:v>Environmental sustainability</c:v>
                </c:pt>
              </c:strCache>
            </c:strRef>
          </c:tx>
          <c:spPr>
            <a:ln w="12700"/>
          </c:spPr>
          <c:marker>
            <c:symbol val="square"/>
            <c:size val="3"/>
          </c:marker>
          <c:val>
            <c:numRef>
              <c:f>'[WEF po qodam-son.xlsx]Лист1'!$E$5,'[WEF po qodam-son.xlsx]Лист1'!$I$5,'[WEF po qodam-son.xlsx]Лист1'!$M$5,'[WEF po qodam-son.xlsx]Лист1'!$Q$5,'[WEF po qodam-son.xlsx]Лист1'!$U$5</c:f>
              <c:numCache>
                <c:formatCode>0.00</c:formatCode>
                <c:ptCount val="5"/>
                <c:pt idx="0">
                  <c:v>0.5254545454545454</c:v>
                </c:pt>
                <c:pt idx="1">
                  <c:v>0.45</c:v>
                </c:pt>
                <c:pt idx="2">
                  <c:v>0.57333333333333369</c:v>
                </c:pt>
                <c:pt idx="3">
                  <c:v>0.63384615384615384</c:v>
                </c:pt>
                <c:pt idx="4">
                  <c:v>0.63230769230769535</c:v>
                </c:pt>
              </c:numCache>
            </c:numRef>
          </c:val>
        </c:ser>
        <c:ser>
          <c:idx val="3"/>
          <c:order val="3"/>
          <c:tx>
            <c:v>Score</c:v>
          </c:tx>
          <c:spPr>
            <a:ln w="12700"/>
          </c:spPr>
          <c:marker>
            <c:symbol val="x"/>
            <c:size val="3"/>
          </c:marker>
          <c:val>
            <c:numRef>
              <c:f>'[WEF po qodam-son.xlsx]Лист1'!$C$5,'[WEF po qodam-son.xlsx]Лист1'!$G$5,'[WEF po qodam-son.xlsx]Лист1'!$K$5,'[WEF po qodam-son.xlsx]Лист1'!$O$5,'[WEF po qodam-son.xlsx]Лист1'!$S$5</c:f>
              <c:numCache>
                <c:formatCode>0.00</c:formatCode>
                <c:ptCount val="5"/>
                <c:pt idx="0">
                  <c:v>0.54272727272727272</c:v>
                </c:pt>
                <c:pt idx="1">
                  <c:v>0.52</c:v>
                </c:pt>
                <c:pt idx="2">
                  <c:v>0.58749999999999958</c:v>
                </c:pt>
                <c:pt idx="3">
                  <c:v>0.59769230769230752</c:v>
                </c:pt>
                <c:pt idx="4">
                  <c:v>0.60615384615384982</c:v>
                </c:pt>
              </c:numCache>
            </c:numRef>
          </c:val>
        </c:ser>
        <c:marker val="1"/>
        <c:axId val="173884928"/>
        <c:axId val="173886464"/>
      </c:lineChart>
      <c:catAx>
        <c:axId val="173884928"/>
        <c:scaling>
          <c:orientation val="minMax"/>
        </c:scaling>
        <c:axPos val="b"/>
        <c:numFmt formatCode="General" sourceLinked="1"/>
        <c:tickLblPos val="nextTo"/>
        <c:txPr>
          <a:bodyPr/>
          <a:lstStyle/>
          <a:p>
            <a:pPr>
              <a:defRPr lang="ru-RU" sz="800"/>
            </a:pPr>
            <a:endParaRPr lang="en-US"/>
          </a:p>
        </c:txPr>
        <c:crossAx val="173886464"/>
        <c:crosses val="autoZero"/>
        <c:auto val="1"/>
        <c:lblAlgn val="ctr"/>
        <c:lblOffset val="100"/>
      </c:catAx>
      <c:valAx>
        <c:axId val="173886464"/>
        <c:scaling>
          <c:orientation val="minMax"/>
          <c:min val="0.30000000000000032"/>
        </c:scaling>
        <c:axPos val="l"/>
        <c:numFmt formatCode="0.0" sourceLinked="0"/>
        <c:tickLblPos val="nextTo"/>
        <c:txPr>
          <a:bodyPr/>
          <a:lstStyle/>
          <a:p>
            <a:pPr>
              <a:defRPr lang="ru-RU" sz="800"/>
            </a:pPr>
            <a:endParaRPr lang="en-US"/>
          </a:p>
        </c:txPr>
        <c:crossAx val="173884928"/>
        <c:crosses val="autoZero"/>
        <c:crossBetween val="between"/>
        <c:majorUnit val="0.1"/>
        <c:minorUnit val="2.0000000000000011E-2"/>
      </c:valAx>
    </c:plotArea>
    <c:legend>
      <c:legendPos val="b"/>
      <c:layout>
        <c:manualLayout>
          <c:xMode val="edge"/>
          <c:yMode val="edge"/>
          <c:x val="1.3221348856115261E-2"/>
          <c:y val="0.81898134021951263"/>
          <c:w val="0.9692006098889131"/>
          <c:h val="0.17819088108099343"/>
        </c:manualLayout>
      </c:layout>
      <c:txPr>
        <a:bodyPr/>
        <a:lstStyle/>
        <a:p>
          <a:pPr>
            <a:defRPr lang="ru-RU"/>
          </a:pPr>
          <a:endParaRPr lang="en-US"/>
        </a:p>
      </c:txPr>
    </c:legend>
    <c:plotVisOnly val="1"/>
  </c:chart>
  <c:spPr>
    <a:ln>
      <a:noFill/>
    </a:ln>
  </c:spPr>
  <c:txPr>
    <a:bodyPr/>
    <a:lstStyle/>
    <a:p>
      <a:pPr>
        <a:defRPr sz="600" b="1">
          <a:latin typeface="Times New Roman" pitchFamily="18" charset="0"/>
          <a:cs typeface="Times New Roman" pitchFamily="18"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1575713213213214"/>
          <c:y val="5.5002729384771104E-2"/>
          <c:w val="0.85087199699699956"/>
          <c:h val="0.54289321066192464"/>
        </c:manualLayout>
      </c:layout>
      <c:lineChart>
        <c:grouping val="standard"/>
        <c:ser>
          <c:idx val="0"/>
          <c:order val="0"/>
          <c:tx>
            <c:strRef>
              <c:f>Лист1!$D$3</c:f>
              <c:strCache>
                <c:ptCount val="1"/>
                <c:pt idx="0">
                  <c:v>Economic growth and development</c:v>
                </c:pt>
              </c:strCache>
            </c:strRef>
          </c:tx>
          <c:spPr>
            <a:ln w="12700"/>
          </c:spPr>
          <c:marker>
            <c:symbol val="diamond"/>
            <c:size val="3"/>
          </c:marker>
          <c:cat>
            <c:numRef>
              <c:f>Лист1!$A$12:$A$16</c:f>
              <c:numCache>
                <c:formatCode>General</c:formatCode>
                <c:ptCount val="5"/>
                <c:pt idx="0">
                  <c:v>2013</c:v>
                </c:pt>
                <c:pt idx="1">
                  <c:v>2014</c:v>
                </c:pt>
                <c:pt idx="2">
                  <c:v>2015</c:v>
                </c:pt>
                <c:pt idx="3">
                  <c:v>2016</c:v>
                </c:pt>
                <c:pt idx="4">
                  <c:v>2017</c:v>
                </c:pt>
              </c:numCache>
            </c:numRef>
          </c:cat>
          <c:val>
            <c:numRef>
              <c:f>'[WEF po qodam-son.xlsx]Лист1'!$D$6,'[WEF po qodam-son.xlsx]Лист1'!$H$6,'[WEF po qodam-son.xlsx]Лист1'!$L$6,'[WEF po qodam-son.xlsx]Лист1'!$P$6,'[WEF po qodam-son.xlsx]Лист1'!$T$6</c:f>
              <c:numCache>
                <c:formatCode>0.00</c:formatCode>
                <c:ptCount val="5"/>
                <c:pt idx="0">
                  <c:v>0.33133333333333331</c:v>
                </c:pt>
                <c:pt idx="1">
                  <c:v>0.31000000000000133</c:v>
                </c:pt>
                <c:pt idx="2">
                  <c:v>0.40764705882352759</c:v>
                </c:pt>
                <c:pt idx="3">
                  <c:v>0.43529411764706016</c:v>
                </c:pt>
                <c:pt idx="4">
                  <c:v>0.39250000000000174</c:v>
                </c:pt>
              </c:numCache>
            </c:numRef>
          </c:val>
        </c:ser>
        <c:ser>
          <c:idx val="2"/>
          <c:order val="1"/>
          <c:tx>
            <c:strRef>
              <c:f>Лист1!$F$3</c:f>
              <c:strCache>
                <c:ptCount val="1"/>
                <c:pt idx="0">
                  <c:v>Energy access and security</c:v>
                </c:pt>
              </c:strCache>
            </c:strRef>
          </c:tx>
          <c:spPr>
            <a:ln w="12700"/>
          </c:spPr>
          <c:marker>
            <c:symbol val="triangle"/>
            <c:size val="3"/>
          </c:marker>
          <c:val>
            <c:numRef>
              <c:f>'[WEF po qodam-son.xlsx]Лист1'!$F$6,'[WEF po qodam-son.xlsx]Лист1'!$J$6,'[WEF po qodam-son.xlsx]Лист1'!$N$6,'[WEF po qodam-son.xlsx]Лист1'!$R$6,'[WEF po qodam-son.xlsx]Лист1'!$V$6</c:f>
              <c:numCache>
                <c:formatCode>0.00</c:formatCode>
                <c:ptCount val="5"/>
                <c:pt idx="0">
                  <c:v>0.69533333333333369</c:v>
                </c:pt>
                <c:pt idx="1">
                  <c:v>0.70000000000000062</c:v>
                </c:pt>
                <c:pt idx="2">
                  <c:v>0.72117647058823564</c:v>
                </c:pt>
                <c:pt idx="3">
                  <c:v>0.72000000000000064</c:v>
                </c:pt>
                <c:pt idx="4">
                  <c:v>0.70750000000000002</c:v>
                </c:pt>
              </c:numCache>
            </c:numRef>
          </c:val>
        </c:ser>
        <c:ser>
          <c:idx val="1"/>
          <c:order val="2"/>
          <c:tx>
            <c:strRef>
              <c:f>Лист1!$E$3</c:f>
              <c:strCache>
                <c:ptCount val="1"/>
                <c:pt idx="0">
                  <c:v>Environmental sustainability</c:v>
                </c:pt>
              </c:strCache>
            </c:strRef>
          </c:tx>
          <c:spPr>
            <a:ln w="12700"/>
          </c:spPr>
          <c:marker>
            <c:symbol val="square"/>
            <c:size val="3"/>
          </c:marker>
          <c:val>
            <c:numRef>
              <c:f>'[WEF po qodam-son.xlsx]Лист1'!$E$6,'[WEF po qodam-son.xlsx]Лист1'!$I$6,'[WEF po qodam-son.xlsx]Лист1'!$M$6,'[WEF po qodam-son.xlsx]Лист1'!$Q$6,'[WEF po qodam-son.xlsx]Лист1'!$U$6</c:f>
              <c:numCache>
                <c:formatCode>0.00</c:formatCode>
                <c:ptCount val="5"/>
                <c:pt idx="0">
                  <c:v>0.36066666666666847</c:v>
                </c:pt>
                <c:pt idx="1">
                  <c:v>0.26</c:v>
                </c:pt>
                <c:pt idx="2">
                  <c:v>0.36470588235294354</c:v>
                </c:pt>
                <c:pt idx="3">
                  <c:v>0.3823529411764735</c:v>
                </c:pt>
                <c:pt idx="4">
                  <c:v>0.38437500000000174</c:v>
                </c:pt>
              </c:numCache>
            </c:numRef>
          </c:val>
        </c:ser>
        <c:ser>
          <c:idx val="3"/>
          <c:order val="3"/>
          <c:tx>
            <c:v>Score</c:v>
          </c:tx>
          <c:spPr>
            <a:ln w="12700"/>
          </c:spPr>
          <c:marker>
            <c:symbol val="x"/>
            <c:size val="3"/>
          </c:marker>
          <c:val>
            <c:numRef>
              <c:f>'[WEF po qodam-son.xlsx]Лист1'!$C$6,'[WEF po qodam-son.xlsx]Лист1'!$G$6,'[WEF po qodam-son.xlsx]Лист1'!$K$6,'[WEF po qodam-son.xlsx]Лист1'!$O$6,'[WEF po qodam-son.xlsx]Лист1'!$S$6</c:f>
              <c:numCache>
                <c:formatCode>0.00</c:formatCode>
                <c:ptCount val="5"/>
                <c:pt idx="0">
                  <c:v>0.46333333333333326</c:v>
                </c:pt>
                <c:pt idx="1">
                  <c:v>0.42000000000000032</c:v>
                </c:pt>
                <c:pt idx="2">
                  <c:v>0.49764705882352811</c:v>
                </c:pt>
                <c:pt idx="3">
                  <c:v>0.51176470588234813</c:v>
                </c:pt>
                <c:pt idx="4">
                  <c:v>0.49500000000000038</c:v>
                </c:pt>
              </c:numCache>
            </c:numRef>
          </c:val>
        </c:ser>
        <c:marker val="1"/>
        <c:axId val="181647232"/>
        <c:axId val="181692672"/>
      </c:lineChart>
      <c:catAx>
        <c:axId val="181647232"/>
        <c:scaling>
          <c:orientation val="minMax"/>
        </c:scaling>
        <c:axPos val="b"/>
        <c:numFmt formatCode="General" sourceLinked="1"/>
        <c:tickLblPos val="nextTo"/>
        <c:txPr>
          <a:bodyPr/>
          <a:lstStyle/>
          <a:p>
            <a:pPr>
              <a:defRPr lang="ru-RU" sz="800"/>
            </a:pPr>
            <a:endParaRPr lang="en-US"/>
          </a:p>
        </c:txPr>
        <c:crossAx val="181692672"/>
        <c:crosses val="autoZero"/>
        <c:auto val="1"/>
        <c:lblAlgn val="ctr"/>
        <c:lblOffset val="100"/>
      </c:catAx>
      <c:valAx>
        <c:axId val="181692672"/>
        <c:scaling>
          <c:orientation val="minMax"/>
          <c:min val="0.2"/>
        </c:scaling>
        <c:axPos val="l"/>
        <c:numFmt formatCode="0.0" sourceLinked="0"/>
        <c:tickLblPos val="nextTo"/>
        <c:txPr>
          <a:bodyPr/>
          <a:lstStyle/>
          <a:p>
            <a:pPr>
              <a:defRPr lang="ru-RU" sz="800"/>
            </a:pPr>
            <a:endParaRPr lang="en-US"/>
          </a:p>
        </c:txPr>
        <c:crossAx val="181647232"/>
        <c:crosses val="autoZero"/>
        <c:crossBetween val="between"/>
        <c:majorUnit val="0.1"/>
        <c:minorUnit val="2.0000000000000011E-2"/>
      </c:valAx>
    </c:plotArea>
    <c:legend>
      <c:legendPos val="b"/>
      <c:layout>
        <c:manualLayout>
          <c:xMode val="edge"/>
          <c:yMode val="edge"/>
          <c:x val="1.4978228228228245E-2"/>
          <c:y val="0.74201007281674081"/>
          <c:w val="0.95574174174174176"/>
          <c:h val="0.21810898383670382"/>
        </c:manualLayout>
      </c:layout>
      <c:txPr>
        <a:bodyPr/>
        <a:lstStyle/>
        <a:p>
          <a:pPr>
            <a:defRPr lang="ru-RU"/>
          </a:pPr>
          <a:endParaRPr lang="en-US"/>
        </a:p>
      </c:txPr>
    </c:legend>
    <c:plotVisOnly val="1"/>
  </c:chart>
  <c:spPr>
    <a:ln>
      <a:noFill/>
    </a:ln>
  </c:spPr>
  <c:txPr>
    <a:bodyPr/>
    <a:lstStyle/>
    <a:p>
      <a:pPr>
        <a:defRPr sz="600" b="1">
          <a:latin typeface="Times New Roman" pitchFamily="18" charset="0"/>
          <a:cs typeface="Times New Roman" pitchFamily="18"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3959346846846926"/>
          <c:y val="7.4943201058048942E-2"/>
          <c:w val="0.80796659159159168"/>
          <c:h val="0.53624638677083158"/>
        </c:manualLayout>
      </c:layout>
      <c:lineChart>
        <c:grouping val="standard"/>
        <c:ser>
          <c:idx val="0"/>
          <c:order val="0"/>
          <c:tx>
            <c:strRef>
              <c:f>Лист1!$D$3</c:f>
              <c:strCache>
                <c:ptCount val="1"/>
                <c:pt idx="0">
                  <c:v>Economic growth and development</c:v>
                </c:pt>
              </c:strCache>
            </c:strRef>
          </c:tx>
          <c:spPr>
            <a:ln w="12700"/>
          </c:spPr>
          <c:marker>
            <c:symbol val="diamond"/>
            <c:size val="3"/>
          </c:marker>
          <c:cat>
            <c:numRef>
              <c:f>Лист1!$A$12:$A$16</c:f>
              <c:numCache>
                <c:formatCode>General</c:formatCode>
                <c:ptCount val="5"/>
                <c:pt idx="0">
                  <c:v>2013</c:v>
                </c:pt>
                <c:pt idx="1">
                  <c:v>2014</c:v>
                </c:pt>
                <c:pt idx="2">
                  <c:v>2015</c:v>
                </c:pt>
                <c:pt idx="3">
                  <c:v>2016</c:v>
                </c:pt>
                <c:pt idx="4">
                  <c:v>2017</c:v>
                </c:pt>
              </c:numCache>
            </c:numRef>
          </c:cat>
          <c:val>
            <c:numRef>
              <c:f>'[WEF po qodam-son.xlsx]Лист1'!$D$7,'[WEF po qodam-son.xlsx]Лист1'!$H$7,'[WEF po qodam-son.xlsx]Лист1'!$L$7,'[WEF po qodam-son.xlsx]Лист1'!$P$7,'[WEF po qodam-son.xlsx]Лист1'!$T$7</c:f>
              <c:numCache>
                <c:formatCode>0.00</c:formatCode>
                <c:ptCount val="5"/>
                <c:pt idx="0">
                  <c:v>0.53</c:v>
                </c:pt>
                <c:pt idx="1">
                  <c:v>0.51</c:v>
                </c:pt>
                <c:pt idx="2">
                  <c:v>0.54200000000000004</c:v>
                </c:pt>
                <c:pt idx="3">
                  <c:v>0.53200000000000003</c:v>
                </c:pt>
                <c:pt idx="4">
                  <c:v>0.54200000000000004</c:v>
                </c:pt>
              </c:numCache>
            </c:numRef>
          </c:val>
        </c:ser>
        <c:ser>
          <c:idx val="2"/>
          <c:order val="1"/>
          <c:tx>
            <c:strRef>
              <c:f>Лист1!$F$3</c:f>
              <c:strCache>
                <c:ptCount val="1"/>
                <c:pt idx="0">
                  <c:v>Energy access and security</c:v>
                </c:pt>
              </c:strCache>
            </c:strRef>
          </c:tx>
          <c:spPr>
            <a:ln w="12700"/>
          </c:spPr>
          <c:marker>
            <c:symbol val="triangle"/>
            <c:size val="3"/>
          </c:marker>
          <c:val>
            <c:numRef>
              <c:f>'[WEF po qodam-son.xlsx]Лист1'!$F$7,'[WEF po qodam-son.xlsx]Лист1'!$J$7,'[WEF po qodam-son.xlsx]Лист1'!$N$7,'[WEF po qodam-son.xlsx]Лист1'!$R$7,'[WEF po qodam-son.xlsx]Лист1'!$V$7</c:f>
              <c:numCache>
                <c:formatCode>0.00</c:formatCode>
                <c:ptCount val="5"/>
                <c:pt idx="0">
                  <c:v>0.61000000000000065</c:v>
                </c:pt>
                <c:pt idx="1">
                  <c:v>0.68</c:v>
                </c:pt>
                <c:pt idx="2">
                  <c:v>0.71800000000000064</c:v>
                </c:pt>
                <c:pt idx="3">
                  <c:v>0.70400000000000063</c:v>
                </c:pt>
                <c:pt idx="4">
                  <c:v>0.71200000000000063</c:v>
                </c:pt>
              </c:numCache>
            </c:numRef>
          </c:val>
        </c:ser>
        <c:ser>
          <c:idx val="1"/>
          <c:order val="2"/>
          <c:tx>
            <c:strRef>
              <c:f>Лист1!$E$3</c:f>
              <c:strCache>
                <c:ptCount val="1"/>
                <c:pt idx="0">
                  <c:v>Environmental sustainability</c:v>
                </c:pt>
              </c:strCache>
            </c:strRef>
          </c:tx>
          <c:spPr>
            <a:ln w="12700"/>
          </c:spPr>
          <c:marker>
            <c:symbol val="square"/>
            <c:size val="3"/>
          </c:marker>
          <c:val>
            <c:numRef>
              <c:f>'[WEF po qodam-son.xlsx]Лист1'!$E$7,'[WEF po qodam-son.xlsx]Лист1'!$I$7,'[WEF po qodam-son.xlsx]Лист1'!$M$7,'[WEF po qodam-son.xlsx]Лист1'!$Q$7,'[WEF po qodam-son.xlsx]Лист1'!$U$7</c:f>
              <c:numCache>
                <c:formatCode>0.00</c:formatCode>
                <c:ptCount val="5"/>
                <c:pt idx="0">
                  <c:v>0.55000000000000004</c:v>
                </c:pt>
                <c:pt idx="1">
                  <c:v>0.44</c:v>
                </c:pt>
                <c:pt idx="2">
                  <c:v>0.52600000000000002</c:v>
                </c:pt>
                <c:pt idx="3">
                  <c:v>0.54399999999999993</c:v>
                </c:pt>
                <c:pt idx="4">
                  <c:v>0.55000000000000004</c:v>
                </c:pt>
              </c:numCache>
            </c:numRef>
          </c:val>
        </c:ser>
        <c:ser>
          <c:idx val="3"/>
          <c:order val="3"/>
          <c:tx>
            <c:v>Score</c:v>
          </c:tx>
          <c:spPr>
            <a:ln w="12700"/>
          </c:spPr>
          <c:marker>
            <c:symbol val="x"/>
            <c:size val="3"/>
          </c:marker>
          <c:val>
            <c:numRef>
              <c:f>'[WEF po qodam-son.xlsx]Лист1'!$C$7,'[WEF po qodam-son.xlsx]Лист1'!$G$7,'[WEF po qodam-son.xlsx]Лист1'!$K$7,'[WEF po qodam-son.xlsx]Лист1'!$O$7,'[WEF po qodam-son.xlsx]Лист1'!$S$7</c:f>
              <c:numCache>
                <c:formatCode>0.00</c:formatCode>
                <c:ptCount val="5"/>
                <c:pt idx="0">
                  <c:v>0.56200000000000061</c:v>
                </c:pt>
                <c:pt idx="1">
                  <c:v>0.55000000000000004</c:v>
                </c:pt>
                <c:pt idx="2">
                  <c:v>0.59600000000000009</c:v>
                </c:pt>
                <c:pt idx="3">
                  <c:v>0.59199999999999997</c:v>
                </c:pt>
                <c:pt idx="4">
                  <c:v>0.60200000000000065</c:v>
                </c:pt>
              </c:numCache>
            </c:numRef>
          </c:val>
        </c:ser>
        <c:marker val="1"/>
        <c:axId val="184305920"/>
        <c:axId val="184309248"/>
      </c:lineChart>
      <c:catAx>
        <c:axId val="184305920"/>
        <c:scaling>
          <c:orientation val="minMax"/>
        </c:scaling>
        <c:axPos val="b"/>
        <c:numFmt formatCode="General" sourceLinked="1"/>
        <c:tickLblPos val="nextTo"/>
        <c:txPr>
          <a:bodyPr/>
          <a:lstStyle/>
          <a:p>
            <a:pPr>
              <a:defRPr lang="ru-RU" sz="800"/>
            </a:pPr>
            <a:endParaRPr lang="en-US"/>
          </a:p>
        </c:txPr>
        <c:crossAx val="184309248"/>
        <c:crosses val="autoZero"/>
        <c:auto val="1"/>
        <c:lblAlgn val="ctr"/>
        <c:lblOffset val="100"/>
      </c:catAx>
      <c:valAx>
        <c:axId val="184309248"/>
        <c:scaling>
          <c:orientation val="minMax"/>
          <c:min val="0.30000000000000032"/>
        </c:scaling>
        <c:axPos val="l"/>
        <c:numFmt formatCode="0.0" sourceLinked="0"/>
        <c:tickLblPos val="nextTo"/>
        <c:txPr>
          <a:bodyPr/>
          <a:lstStyle/>
          <a:p>
            <a:pPr>
              <a:defRPr lang="ru-RU" sz="800"/>
            </a:pPr>
            <a:endParaRPr lang="en-US"/>
          </a:p>
        </c:txPr>
        <c:crossAx val="184305920"/>
        <c:crosses val="autoZero"/>
        <c:crossBetween val="between"/>
        <c:majorUnit val="0.1"/>
        <c:minorUnit val="2.0000000000000011E-2"/>
      </c:valAx>
    </c:plotArea>
    <c:legend>
      <c:legendPos val="b"/>
      <c:layout>
        <c:manualLayout>
          <c:xMode val="edge"/>
          <c:yMode val="edge"/>
          <c:x val="3.4047297297297316E-2"/>
          <c:y val="0.75530372059892592"/>
          <c:w val="0.94620720720720719"/>
          <c:h val="0.20481533605451863"/>
        </c:manualLayout>
      </c:layout>
      <c:txPr>
        <a:bodyPr/>
        <a:lstStyle/>
        <a:p>
          <a:pPr>
            <a:defRPr lang="ru-RU"/>
          </a:pPr>
          <a:endParaRPr lang="en-US"/>
        </a:p>
      </c:txPr>
    </c:legend>
    <c:plotVisOnly val="1"/>
  </c:chart>
  <c:spPr>
    <a:ln>
      <a:noFill/>
    </a:ln>
  </c:spPr>
  <c:txPr>
    <a:bodyPr/>
    <a:lstStyle/>
    <a:p>
      <a:pPr>
        <a:defRPr sz="600" b="1">
          <a:latin typeface="Times New Roman" pitchFamily="18" charset="0"/>
          <a:cs typeface="Times New Roman" pitchFamily="18" charset="0"/>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0145533033033033"/>
          <c:y val="7.4444427580236977E-2"/>
          <c:w val="0.8985446696696695"/>
          <c:h val="0.5234515124664586"/>
        </c:manualLayout>
      </c:layout>
      <c:lineChart>
        <c:grouping val="standard"/>
        <c:ser>
          <c:idx val="0"/>
          <c:order val="0"/>
          <c:tx>
            <c:strRef>
              <c:f>Лист1!$D$3</c:f>
              <c:strCache>
                <c:ptCount val="1"/>
                <c:pt idx="0">
                  <c:v>Economic growth and development</c:v>
                </c:pt>
              </c:strCache>
            </c:strRef>
          </c:tx>
          <c:spPr>
            <a:ln w="12700"/>
          </c:spPr>
          <c:marker>
            <c:symbol val="diamond"/>
            <c:size val="5"/>
          </c:marker>
          <c:cat>
            <c:numRef>
              <c:f>Лист1!$A$12:$A$16</c:f>
              <c:numCache>
                <c:formatCode>General</c:formatCode>
                <c:ptCount val="5"/>
                <c:pt idx="0">
                  <c:v>2013</c:v>
                </c:pt>
                <c:pt idx="1">
                  <c:v>2014</c:v>
                </c:pt>
                <c:pt idx="2">
                  <c:v>2015</c:v>
                </c:pt>
                <c:pt idx="3">
                  <c:v>2016</c:v>
                </c:pt>
                <c:pt idx="4">
                  <c:v>2017</c:v>
                </c:pt>
              </c:numCache>
            </c:numRef>
          </c:cat>
          <c:val>
            <c:numRef>
              <c:f>'[WEF po qodam-son.xlsx]Лист1'!$D$8,'[WEF po qodam-son.xlsx]Лист1'!$H$8,'[WEF po qodam-son.xlsx]Лист1'!$L$8,'[WEF po qodam-son.xlsx]Лист1'!$P$8,'[WEF po qodam-son.xlsx]Лист1'!$T$8</c:f>
              <c:numCache>
                <c:formatCode>0.00</c:formatCode>
                <c:ptCount val="5"/>
                <c:pt idx="0">
                  <c:v>0.44571428571428717</c:v>
                </c:pt>
                <c:pt idx="1">
                  <c:v>0.4</c:v>
                </c:pt>
                <c:pt idx="2">
                  <c:v>0.47375</c:v>
                </c:pt>
                <c:pt idx="3">
                  <c:v>0.49750000000000139</c:v>
                </c:pt>
                <c:pt idx="4">
                  <c:v>0.51749999999999996</c:v>
                </c:pt>
              </c:numCache>
            </c:numRef>
          </c:val>
        </c:ser>
        <c:ser>
          <c:idx val="2"/>
          <c:order val="1"/>
          <c:tx>
            <c:strRef>
              <c:f>Лист1!$F$3</c:f>
              <c:strCache>
                <c:ptCount val="1"/>
                <c:pt idx="0">
                  <c:v>Energy access and security</c:v>
                </c:pt>
              </c:strCache>
            </c:strRef>
          </c:tx>
          <c:spPr>
            <a:ln w="12700"/>
          </c:spPr>
          <c:marker>
            <c:symbol val="triangle"/>
            <c:size val="5"/>
          </c:marker>
          <c:val>
            <c:numRef>
              <c:f>'[WEF po qodam-son.xlsx]Лист1'!$F$8,'[WEF po qodam-son.xlsx]Лист1'!$J$8,'[WEF po qodam-son.xlsx]Лист1'!$N$8,'[WEF po qodam-son.xlsx]Лист1'!$R$8,'[WEF po qodam-son.xlsx]Лист1'!$V$8</c:f>
              <c:numCache>
                <c:formatCode>0.00</c:formatCode>
                <c:ptCount val="5"/>
                <c:pt idx="0">
                  <c:v>0.65857142857143192</c:v>
                </c:pt>
                <c:pt idx="1">
                  <c:v>0.64000000000000301</c:v>
                </c:pt>
                <c:pt idx="2">
                  <c:v>0.68375000000000064</c:v>
                </c:pt>
                <c:pt idx="3">
                  <c:v>0.69249999999999989</c:v>
                </c:pt>
                <c:pt idx="4">
                  <c:v>0.69875000000000065</c:v>
                </c:pt>
              </c:numCache>
            </c:numRef>
          </c:val>
        </c:ser>
        <c:ser>
          <c:idx val="1"/>
          <c:order val="2"/>
          <c:tx>
            <c:strRef>
              <c:f>Лист1!$E$3</c:f>
              <c:strCache>
                <c:ptCount val="1"/>
                <c:pt idx="0">
                  <c:v>Environmental sustainability</c:v>
                </c:pt>
              </c:strCache>
            </c:strRef>
          </c:tx>
          <c:spPr>
            <a:ln w="12700"/>
          </c:spPr>
          <c:marker>
            <c:symbol val="square"/>
            <c:size val="3"/>
          </c:marker>
          <c:val>
            <c:numRef>
              <c:f>'[WEF po qodam-son.xlsx]Лист1'!$E$8,'[WEF po qodam-son.xlsx]Лист1'!$I$8,'[WEF po qodam-son.xlsx]Лист1'!$M$8,'[WEF po qodam-son.xlsx]Лист1'!$Q$8,'[WEF po qodam-son.xlsx]Лист1'!$U$8</c:f>
              <c:numCache>
                <c:formatCode>0.00</c:formatCode>
                <c:ptCount val="5"/>
                <c:pt idx="0">
                  <c:v>0.49428571428571438</c:v>
                </c:pt>
                <c:pt idx="1">
                  <c:v>0.39000000000000151</c:v>
                </c:pt>
                <c:pt idx="2">
                  <c:v>0.51250000000000007</c:v>
                </c:pt>
                <c:pt idx="3">
                  <c:v>0.56875000000000064</c:v>
                </c:pt>
                <c:pt idx="4">
                  <c:v>0.5675</c:v>
                </c:pt>
              </c:numCache>
            </c:numRef>
          </c:val>
        </c:ser>
        <c:ser>
          <c:idx val="3"/>
          <c:order val="3"/>
          <c:tx>
            <c:v>Score</c:v>
          </c:tx>
          <c:spPr>
            <a:ln w="12700"/>
          </c:spPr>
          <c:marker>
            <c:symbol val="x"/>
            <c:size val="5"/>
          </c:marker>
          <c:val>
            <c:numRef>
              <c:f>'[WEF po qodam-son.xlsx]Лист1'!$C$8,'[WEF po qodam-son.xlsx]Лист1'!$G$8,'[WEF po qodam-son.xlsx]Лист1'!$K$8,'[WEF po qodam-son.xlsx]Лист1'!$O$8,'[WEF po qodam-son.xlsx]Лист1'!$S$8</c:f>
              <c:numCache>
                <c:formatCode>0.00</c:formatCode>
                <c:ptCount val="5"/>
                <c:pt idx="0">
                  <c:v>0.53142857142857491</c:v>
                </c:pt>
                <c:pt idx="1">
                  <c:v>0.48000000000000032</c:v>
                </c:pt>
                <c:pt idx="2">
                  <c:v>0.5575</c:v>
                </c:pt>
                <c:pt idx="3">
                  <c:v>0.58749999999999958</c:v>
                </c:pt>
                <c:pt idx="4">
                  <c:v>0.59249999999999958</c:v>
                </c:pt>
              </c:numCache>
            </c:numRef>
          </c:val>
        </c:ser>
        <c:marker val="1"/>
        <c:axId val="185271040"/>
        <c:axId val="186292096"/>
      </c:lineChart>
      <c:catAx>
        <c:axId val="185271040"/>
        <c:scaling>
          <c:orientation val="minMax"/>
        </c:scaling>
        <c:axPos val="b"/>
        <c:numFmt formatCode="General" sourceLinked="1"/>
        <c:tickLblPos val="nextTo"/>
        <c:txPr>
          <a:bodyPr/>
          <a:lstStyle/>
          <a:p>
            <a:pPr>
              <a:defRPr lang="ru-RU" sz="800"/>
            </a:pPr>
            <a:endParaRPr lang="en-US"/>
          </a:p>
        </c:txPr>
        <c:crossAx val="186292096"/>
        <c:crosses val="autoZero"/>
        <c:auto val="1"/>
        <c:lblAlgn val="ctr"/>
        <c:lblOffset val="100"/>
      </c:catAx>
      <c:valAx>
        <c:axId val="186292096"/>
        <c:scaling>
          <c:orientation val="minMax"/>
          <c:min val="0.30000000000000032"/>
        </c:scaling>
        <c:axPos val="l"/>
        <c:numFmt formatCode="0.0" sourceLinked="0"/>
        <c:tickLblPos val="nextTo"/>
        <c:txPr>
          <a:bodyPr/>
          <a:lstStyle/>
          <a:p>
            <a:pPr>
              <a:defRPr lang="ru-RU" sz="800"/>
            </a:pPr>
            <a:endParaRPr lang="en-US"/>
          </a:p>
        </c:txPr>
        <c:crossAx val="185271040"/>
        <c:crosses val="autoZero"/>
        <c:crossBetween val="between"/>
        <c:majorUnit val="0.1"/>
        <c:minorUnit val="2.0000000000000011E-2"/>
      </c:valAx>
    </c:plotArea>
    <c:legend>
      <c:legendPos val="b"/>
      <c:layout>
        <c:manualLayout>
          <c:xMode val="edge"/>
          <c:yMode val="edge"/>
          <c:x val="0"/>
          <c:y val="0.74201007281674081"/>
          <c:w val="0.97013888888889122"/>
          <c:h val="0.21810898383670382"/>
        </c:manualLayout>
      </c:layout>
      <c:txPr>
        <a:bodyPr/>
        <a:lstStyle/>
        <a:p>
          <a:pPr>
            <a:defRPr lang="ru-RU"/>
          </a:pPr>
          <a:endParaRPr lang="en-US"/>
        </a:p>
      </c:txPr>
    </c:legend>
    <c:plotVisOnly val="1"/>
  </c:chart>
  <c:spPr>
    <a:ln>
      <a:noFill/>
    </a:ln>
  </c:spPr>
  <c:txPr>
    <a:bodyPr/>
    <a:lstStyle/>
    <a:p>
      <a:pPr>
        <a:defRPr sz="600" b="1">
          <a:latin typeface="Times New Roman" pitchFamily="18" charset="0"/>
          <a:cs typeface="Times New Roman" pitchFamily="18" charset="0"/>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1620983483483484"/>
          <c:y val="7.4444427580236977E-2"/>
          <c:w val="0.88379016516516518"/>
          <c:h val="0.51680468857536577"/>
        </c:manualLayout>
      </c:layout>
      <c:lineChart>
        <c:grouping val="standard"/>
        <c:ser>
          <c:idx val="0"/>
          <c:order val="0"/>
          <c:tx>
            <c:strRef>
              <c:f>Лист1!$D$3</c:f>
              <c:strCache>
                <c:ptCount val="1"/>
                <c:pt idx="0">
                  <c:v>Economic growth and development</c:v>
                </c:pt>
              </c:strCache>
            </c:strRef>
          </c:tx>
          <c:spPr>
            <a:ln w="12700"/>
          </c:spPr>
          <c:marker>
            <c:symbol val="diamond"/>
            <c:size val="3"/>
          </c:marker>
          <c:cat>
            <c:numRef>
              <c:f>Лист1!$A$12:$A$16</c:f>
              <c:numCache>
                <c:formatCode>General</c:formatCode>
                <c:ptCount val="5"/>
                <c:pt idx="0">
                  <c:v>2013</c:v>
                </c:pt>
                <c:pt idx="1">
                  <c:v>2014</c:v>
                </c:pt>
                <c:pt idx="2">
                  <c:v>2015</c:v>
                </c:pt>
                <c:pt idx="3">
                  <c:v>2016</c:v>
                </c:pt>
                <c:pt idx="4">
                  <c:v>2017</c:v>
                </c:pt>
              </c:numCache>
            </c:numRef>
          </c:cat>
          <c:val>
            <c:numRef>
              <c:f>'[WEF po qodam-son.xlsx]Лист1'!$D$9,'[WEF po qodam-son.xlsx]Лист1'!$H$9,'[WEF po qodam-son.xlsx]Лист1'!$L$9,'[WEF po qodam-son.xlsx]Лист1'!$P$9,'[WEF po qodam-son.xlsx]Лист1'!$T$9</c:f>
              <c:numCache>
                <c:formatCode>0.00</c:formatCode>
                <c:ptCount val="5"/>
                <c:pt idx="0">
                  <c:v>0.37538461538462015</c:v>
                </c:pt>
                <c:pt idx="1">
                  <c:v>0.36000000000000032</c:v>
                </c:pt>
                <c:pt idx="2">
                  <c:v>0.44124999999999998</c:v>
                </c:pt>
                <c:pt idx="3">
                  <c:v>0.4641176470588238</c:v>
                </c:pt>
                <c:pt idx="4">
                  <c:v>0.46705882352941375</c:v>
                </c:pt>
              </c:numCache>
            </c:numRef>
          </c:val>
        </c:ser>
        <c:ser>
          <c:idx val="2"/>
          <c:order val="1"/>
          <c:tx>
            <c:strRef>
              <c:f>Лист1!$F$3</c:f>
              <c:strCache>
                <c:ptCount val="1"/>
                <c:pt idx="0">
                  <c:v>Energy access and security</c:v>
                </c:pt>
              </c:strCache>
            </c:strRef>
          </c:tx>
          <c:spPr>
            <a:ln w="12700"/>
          </c:spPr>
          <c:marker>
            <c:symbol val="triangle"/>
            <c:size val="3"/>
          </c:marker>
          <c:val>
            <c:numRef>
              <c:f>'[WEF po qodam-son.xlsx]Лист1'!$F$9,'[WEF po qodam-son.xlsx]Лист1'!$J$9,'[WEF po qodam-son.xlsx]Лист1'!$N$9,'[WEF po qodam-son.xlsx]Лист1'!$R$9,'[WEF po qodam-son.xlsx]Лист1'!$V$9</c:f>
              <c:numCache>
                <c:formatCode>0.00</c:formatCode>
                <c:ptCount val="5"/>
                <c:pt idx="0">
                  <c:v>0.29461538461538461</c:v>
                </c:pt>
                <c:pt idx="1">
                  <c:v>0.35000000000000031</c:v>
                </c:pt>
                <c:pt idx="2">
                  <c:v>0.38562500000000038</c:v>
                </c:pt>
                <c:pt idx="3">
                  <c:v>0.38294117647058828</c:v>
                </c:pt>
                <c:pt idx="4">
                  <c:v>0.39176470588235596</c:v>
                </c:pt>
              </c:numCache>
            </c:numRef>
          </c:val>
        </c:ser>
        <c:ser>
          <c:idx val="1"/>
          <c:order val="2"/>
          <c:tx>
            <c:strRef>
              <c:f>Лист1!$E$3</c:f>
              <c:strCache>
                <c:ptCount val="1"/>
                <c:pt idx="0">
                  <c:v>Environmental sustainability</c:v>
                </c:pt>
              </c:strCache>
            </c:strRef>
          </c:tx>
          <c:spPr>
            <a:ln w="12700"/>
          </c:spPr>
          <c:marker>
            <c:symbol val="square"/>
            <c:size val="3"/>
          </c:marker>
          <c:val>
            <c:numRef>
              <c:f>'[WEF po qodam-son.xlsx]Лист1'!$E$9,'[WEF po qodam-son.xlsx]Лист1'!$I$9,'[WEF po qodam-son.xlsx]Лист1'!$M$9,'[WEF po qodam-son.xlsx]Лист1'!$Q$9,'[WEF po qodam-son.xlsx]Лист1'!$U$9</c:f>
              <c:numCache>
                <c:formatCode>0.00</c:formatCode>
                <c:ptCount val="5"/>
                <c:pt idx="0">
                  <c:v>0.65461538461538793</c:v>
                </c:pt>
                <c:pt idx="1">
                  <c:v>0.58000000000000007</c:v>
                </c:pt>
                <c:pt idx="2">
                  <c:v>0.67062500000000613</c:v>
                </c:pt>
                <c:pt idx="3">
                  <c:v>0.72705882352941653</c:v>
                </c:pt>
                <c:pt idx="4">
                  <c:v>0.73117647058823565</c:v>
                </c:pt>
              </c:numCache>
            </c:numRef>
          </c:val>
        </c:ser>
        <c:ser>
          <c:idx val="3"/>
          <c:order val="3"/>
          <c:tx>
            <c:v>Score</c:v>
          </c:tx>
          <c:spPr>
            <a:ln w="12700"/>
          </c:spPr>
          <c:marker>
            <c:symbol val="x"/>
            <c:size val="3"/>
          </c:marker>
          <c:val>
            <c:numRef>
              <c:f>'[WEF po qodam-son.xlsx]Лист1'!$C$9,'[WEF po qodam-son.xlsx]Лист1'!$G$9,'[WEF po qodam-son.xlsx]Лист1'!$K$9,'[WEF po qodam-son.xlsx]Лист1'!$O$9,'[WEF po qodam-son.xlsx]Лист1'!$S$9</c:f>
              <c:numCache>
                <c:formatCode>0.00</c:formatCode>
                <c:ptCount val="5"/>
                <c:pt idx="0">
                  <c:v>0.44153846153846182</c:v>
                </c:pt>
                <c:pt idx="1">
                  <c:v>0.43000000000000038</c:v>
                </c:pt>
                <c:pt idx="2">
                  <c:v>0.49812500000000032</c:v>
                </c:pt>
                <c:pt idx="3">
                  <c:v>0.52411764705882369</c:v>
                </c:pt>
                <c:pt idx="4">
                  <c:v>0.53058823529411769</c:v>
                </c:pt>
              </c:numCache>
            </c:numRef>
          </c:val>
        </c:ser>
        <c:marker val="1"/>
        <c:axId val="191860096"/>
        <c:axId val="192016384"/>
      </c:lineChart>
      <c:catAx>
        <c:axId val="191860096"/>
        <c:scaling>
          <c:orientation val="minMax"/>
        </c:scaling>
        <c:axPos val="b"/>
        <c:numFmt formatCode="General" sourceLinked="1"/>
        <c:tickLblPos val="nextTo"/>
        <c:txPr>
          <a:bodyPr/>
          <a:lstStyle/>
          <a:p>
            <a:pPr>
              <a:defRPr lang="ru-RU" sz="800"/>
            </a:pPr>
            <a:endParaRPr lang="en-US"/>
          </a:p>
        </c:txPr>
        <c:crossAx val="192016384"/>
        <c:crosses val="autoZero"/>
        <c:auto val="1"/>
        <c:lblAlgn val="ctr"/>
        <c:lblOffset val="100"/>
      </c:catAx>
      <c:valAx>
        <c:axId val="192016384"/>
        <c:scaling>
          <c:orientation val="minMax"/>
          <c:min val="0.2"/>
        </c:scaling>
        <c:axPos val="l"/>
        <c:numFmt formatCode="0.0" sourceLinked="0"/>
        <c:tickLblPos val="nextTo"/>
        <c:txPr>
          <a:bodyPr/>
          <a:lstStyle/>
          <a:p>
            <a:pPr>
              <a:defRPr lang="ru-RU" sz="800"/>
            </a:pPr>
            <a:endParaRPr lang="en-US"/>
          </a:p>
        </c:txPr>
        <c:crossAx val="191860096"/>
        <c:crosses val="autoZero"/>
        <c:crossBetween val="between"/>
        <c:majorUnit val="0.1"/>
        <c:minorUnit val="2.0000000000000011E-2"/>
      </c:valAx>
    </c:plotArea>
    <c:legend>
      <c:legendPos val="b"/>
      <c:layout>
        <c:manualLayout>
          <c:xMode val="edge"/>
          <c:yMode val="edge"/>
          <c:x val="1.7314189189189182E-2"/>
          <c:y val="0.75530372059892592"/>
          <c:w val="0.95106981981982064"/>
          <c:h val="0.20481533605451863"/>
        </c:manualLayout>
      </c:layout>
      <c:txPr>
        <a:bodyPr/>
        <a:lstStyle/>
        <a:p>
          <a:pPr>
            <a:defRPr lang="ru-RU"/>
          </a:pPr>
          <a:endParaRPr lang="en-US"/>
        </a:p>
      </c:txPr>
    </c:legend>
    <c:plotVisOnly val="1"/>
  </c:chart>
  <c:spPr>
    <a:ln>
      <a:noFill/>
    </a:ln>
  </c:spPr>
  <c:txPr>
    <a:bodyPr/>
    <a:lstStyle/>
    <a:p>
      <a:pPr>
        <a:defRPr sz="600" b="1">
          <a:latin typeface="Times New Roman" pitchFamily="18" charset="0"/>
          <a:cs typeface="Times New Roman" pitchFamily="18" charset="0"/>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1575713213213214"/>
          <c:y val="6.1649553275863446E-2"/>
          <c:w val="0.83657019519519515"/>
          <c:h val="0.54289321066192464"/>
        </c:manualLayout>
      </c:layout>
      <c:lineChart>
        <c:grouping val="standard"/>
        <c:ser>
          <c:idx val="0"/>
          <c:order val="0"/>
          <c:tx>
            <c:strRef>
              <c:f>Лист1!$D$3</c:f>
              <c:strCache>
                <c:ptCount val="1"/>
                <c:pt idx="0">
                  <c:v>Economic growth and development</c:v>
                </c:pt>
              </c:strCache>
            </c:strRef>
          </c:tx>
          <c:spPr>
            <a:ln w="12700"/>
          </c:spPr>
          <c:marker>
            <c:symbol val="diamond"/>
            <c:size val="3"/>
          </c:marker>
          <c:cat>
            <c:numRef>
              <c:f>Лист1!$A$12:$A$16</c:f>
              <c:numCache>
                <c:formatCode>General</c:formatCode>
                <c:ptCount val="5"/>
                <c:pt idx="0">
                  <c:v>2013</c:v>
                </c:pt>
                <c:pt idx="1">
                  <c:v>2014</c:v>
                </c:pt>
                <c:pt idx="2">
                  <c:v>2015</c:v>
                </c:pt>
                <c:pt idx="3">
                  <c:v>2016</c:v>
                </c:pt>
                <c:pt idx="4">
                  <c:v>2017</c:v>
                </c:pt>
              </c:numCache>
            </c:numRef>
          </c:cat>
          <c:val>
            <c:numRef>
              <c:f>'[WEF po qodam-son.xlsx]Лист1'!$D$10,'[WEF po qodam-son.xlsx]Лист1'!$H$10,'[WEF po qodam-son.xlsx]Лист1'!$L$10,'[WEF po qodam-son.xlsx]Лист1'!$P$10,'[WEF po qodam-son.xlsx]Лист1'!$T$10</c:f>
              <c:numCache>
                <c:formatCode>0.00</c:formatCode>
                <c:ptCount val="5"/>
                <c:pt idx="0">
                  <c:v>0.3800000000000015</c:v>
                </c:pt>
                <c:pt idx="1">
                  <c:v>0.36300000000000032</c:v>
                </c:pt>
                <c:pt idx="2">
                  <c:v>0.42416666666666841</c:v>
                </c:pt>
                <c:pt idx="3">
                  <c:v>0.43250000000000038</c:v>
                </c:pt>
                <c:pt idx="4">
                  <c:v>0.43636363636363795</c:v>
                </c:pt>
              </c:numCache>
            </c:numRef>
          </c:val>
        </c:ser>
        <c:ser>
          <c:idx val="2"/>
          <c:order val="1"/>
          <c:tx>
            <c:strRef>
              <c:f>Лист1!$F$3</c:f>
              <c:strCache>
                <c:ptCount val="1"/>
                <c:pt idx="0">
                  <c:v>Energy access and security</c:v>
                </c:pt>
              </c:strCache>
            </c:strRef>
          </c:tx>
          <c:spPr>
            <a:ln w="12700"/>
          </c:spPr>
          <c:marker>
            <c:symbol val="triangle"/>
            <c:size val="3"/>
          </c:marker>
          <c:val>
            <c:numRef>
              <c:f>'[WEF po qodam-son.xlsx]Лист1'!$F$10,'[WEF po qodam-son.xlsx]Лист1'!$J$10,'[WEF po qodam-son.xlsx]Лист1'!$N$10,'[WEF po qodam-son.xlsx]Лист1'!$R$10,'[WEF po qodam-son.xlsx]Лист1'!$V$10</c:f>
              <c:numCache>
                <c:formatCode>0.00</c:formatCode>
                <c:ptCount val="5"/>
                <c:pt idx="0">
                  <c:v>0.66875000000000406</c:v>
                </c:pt>
                <c:pt idx="1">
                  <c:v>0.69699999999999995</c:v>
                </c:pt>
                <c:pt idx="2">
                  <c:v>0.72416666666666651</c:v>
                </c:pt>
                <c:pt idx="3">
                  <c:v>0.72000000000000064</c:v>
                </c:pt>
                <c:pt idx="4">
                  <c:v>0.73090909090909484</c:v>
                </c:pt>
              </c:numCache>
            </c:numRef>
          </c:val>
        </c:ser>
        <c:ser>
          <c:idx val="1"/>
          <c:order val="2"/>
          <c:tx>
            <c:strRef>
              <c:f>Лист1!$E$3</c:f>
              <c:strCache>
                <c:ptCount val="1"/>
                <c:pt idx="0">
                  <c:v>Environmental sustainability</c:v>
                </c:pt>
              </c:strCache>
            </c:strRef>
          </c:tx>
          <c:spPr>
            <a:ln w="12700"/>
          </c:spPr>
          <c:marker>
            <c:symbol val="square"/>
            <c:size val="3"/>
          </c:marker>
          <c:val>
            <c:numRef>
              <c:f>'[WEF po qodam-son.xlsx]Лист1'!$E$10,'[WEF po qodam-son.xlsx]Лист1'!$I$10,'[WEF po qodam-son.xlsx]Лист1'!$M$10,'[WEF po qodam-son.xlsx]Лист1'!$Q$10,'[WEF po qodam-son.xlsx]Лист1'!$U$10</c:f>
              <c:numCache>
                <c:formatCode>0.00</c:formatCode>
                <c:ptCount val="5"/>
                <c:pt idx="0">
                  <c:v>0.56500000000000061</c:v>
                </c:pt>
                <c:pt idx="1">
                  <c:v>0.47900000000000031</c:v>
                </c:pt>
                <c:pt idx="2">
                  <c:v>0.62583333333333635</c:v>
                </c:pt>
                <c:pt idx="3">
                  <c:v>0.62416666666666654</c:v>
                </c:pt>
                <c:pt idx="4">
                  <c:v>0.6272727272727272</c:v>
                </c:pt>
              </c:numCache>
            </c:numRef>
          </c:val>
        </c:ser>
        <c:ser>
          <c:idx val="3"/>
          <c:order val="3"/>
          <c:tx>
            <c:v>CIS</c:v>
          </c:tx>
          <c:spPr>
            <a:ln w="12700"/>
          </c:spPr>
          <c:marker>
            <c:symbol val="x"/>
            <c:size val="3"/>
          </c:marker>
          <c:val>
            <c:numRef>
              <c:f>'[WEF po qodam-son.xlsx]Лист1'!$C$10,'[WEF po qodam-son.xlsx]Лист1'!$G$10,'[WEF po qodam-son.xlsx]Лист1'!$K$10,'[WEF po qodam-son.xlsx]Лист1'!$O$10,'[WEF po qodam-son.xlsx]Лист1'!$S$10</c:f>
              <c:numCache>
                <c:formatCode>0.00</c:formatCode>
                <c:ptCount val="5"/>
                <c:pt idx="0">
                  <c:v>0.53875000000000062</c:v>
                </c:pt>
                <c:pt idx="1">
                  <c:v>0.51100000000000012</c:v>
                </c:pt>
                <c:pt idx="2">
                  <c:v>0.59083333333333343</c:v>
                </c:pt>
                <c:pt idx="3">
                  <c:v>0.59333333333333338</c:v>
                </c:pt>
                <c:pt idx="4">
                  <c:v>0.59727272727272385</c:v>
                </c:pt>
              </c:numCache>
            </c:numRef>
          </c:val>
        </c:ser>
        <c:marker val="1"/>
        <c:axId val="192126976"/>
        <c:axId val="192132224"/>
      </c:lineChart>
      <c:catAx>
        <c:axId val="192126976"/>
        <c:scaling>
          <c:orientation val="minMax"/>
        </c:scaling>
        <c:axPos val="b"/>
        <c:numFmt formatCode="General" sourceLinked="1"/>
        <c:tickLblPos val="nextTo"/>
        <c:txPr>
          <a:bodyPr/>
          <a:lstStyle/>
          <a:p>
            <a:pPr>
              <a:defRPr lang="ru-RU" sz="800"/>
            </a:pPr>
            <a:endParaRPr lang="en-US"/>
          </a:p>
        </c:txPr>
        <c:crossAx val="192132224"/>
        <c:crosses val="autoZero"/>
        <c:auto val="1"/>
        <c:lblAlgn val="ctr"/>
        <c:lblOffset val="100"/>
      </c:catAx>
      <c:valAx>
        <c:axId val="192132224"/>
        <c:scaling>
          <c:orientation val="minMax"/>
          <c:min val="0.30000000000000032"/>
        </c:scaling>
        <c:axPos val="l"/>
        <c:numFmt formatCode="0.0" sourceLinked="0"/>
        <c:tickLblPos val="nextTo"/>
        <c:txPr>
          <a:bodyPr/>
          <a:lstStyle/>
          <a:p>
            <a:pPr>
              <a:defRPr lang="ru-RU" sz="800"/>
            </a:pPr>
            <a:endParaRPr lang="en-US"/>
          </a:p>
        </c:txPr>
        <c:crossAx val="192126976"/>
        <c:crosses val="autoZero"/>
        <c:crossBetween val="between"/>
        <c:majorUnit val="0.1"/>
        <c:minorUnit val="2.0000000000000011E-2"/>
      </c:valAx>
    </c:plotArea>
    <c:legend>
      <c:legendPos val="b"/>
      <c:layout>
        <c:manualLayout>
          <c:xMode val="edge"/>
          <c:yMode val="edge"/>
          <c:x val="1.7314189189189182E-2"/>
          <c:y val="0.73536324892564808"/>
          <c:w val="0.9653716216216216"/>
          <c:h val="0.22475580772779635"/>
        </c:manualLayout>
      </c:layout>
      <c:txPr>
        <a:bodyPr/>
        <a:lstStyle/>
        <a:p>
          <a:pPr>
            <a:defRPr lang="ru-RU"/>
          </a:pPr>
          <a:endParaRPr lang="en-US"/>
        </a:p>
      </c:txPr>
    </c:legend>
    <c:plotVisOnly val="1"/>
  </c:chart>
  <c:spPr>
    <a:ln>
      <a:noFill/>
    </a:ln>
  </c:spPr>
  <c:txPr>
    <a:bodyPr/>
    <a:lstStyle/>
    <a:p>
      <a:pPr>
        <a:defRPr sz="600" b="1">
          <a:latin typeface="Times New Roman" pitchFamily="18" charset="0"/>
          <a:cs typeface="Times New Roman" pitchFamily="18" charset="0"/>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0145533033033033"/>
          <c:y val="8.8236848840234222E-2"/>
          <c:w val="0.8794756006006037"/>
          <c:h val="0.46977814785990646"/>
        </c:manualLayout>
      </c:layout>
      <c:lineChart>
        <c:grouping val="standard"/>
        <c:ser>
          <c:idx val="0"/>
          <c:order val="0"/>
          <c:tx>
            <c:strRef>
              <c:f>Лист1!$D$3</c:f>
              <c:strCache>
                <c:ptCount val="1"/>
                <c:pt idx="0">
                  <c:v>Economic growth and development</c:v>
                </c:pt>
              </c:strCache>
            </c:strRef>
          </c:tx>
          <c:spPr>
            <a:ln w="12700"/>
          </c:spPr>
          <c:marker>
            <c:symbol val="diamond"/>
            <c:size val="3"/>
          </c:marker>
          <c:cat>
            <c:numRef>
              <c:f>Лист1!$A$12:$A$16</c:f>
              <c:numCache>
                <c:formatCode>General</c:formatCode>
                <c:ptCount val="5"/>
                <c:pt idx="0">
                  <c:v>2013</c:v>
                </c:pt>
                <c:pt idx="1">
                  <c:v>2014</c:v>
                </c:pt>
                <c:pt idx="2">
                  <c:v>2015</c:v>
                </c:pt>
                <c:pt idx="3">
                  <c:v>2016</c:v>
                </c:pt>
                <c:pt idx="4">
                  <c:v>2017</c:v>
                </c:pt>
              </c:numCache>
            </c:numRef>
          </c:cat>
          <c:val>
            <c:numRef>
              <c:f>'[WEF po qodam-son.xlsx]Лист1'!$D$11,'[WEF po qodam-son.xlsx]Лист1'!$H$11,'[WEF po qodam-son.xlsx]Лист1'!$L$11,'[WEF po qodam-son.xlsx]Лист1'!$P$11,'[WEF po qodam-son.xlsx]Лист1'!$T$11</c:f>
              <c:numCache>
                <c:formatCode>0.00</c:formatCode>
                <c:ptCount val="5"/>
                <c:pt idx="0">
                  <c:v>0.47704761904762027</c:v>
                </c:pt>
                <c:pt idx="1">
                  <c:v>0.4511290322580645</c:v>
                </c:pt>
                <c:pt idx="2">
                  <c:v>0.50999999999999979</c:v>
                </c:pt>
                <c:pt idx="3">
                  <c:v>0.51380952380952405</c:v>
                </c:pt>
                <c:pt idx="4">
                  <c:v>0.52188976377952767</c:v>
                </c:pt>
              </c:numCache>
            </c:numRef>
          </c:val>
        </c:ser>
        <c:ser>
          <c:idx val="2"/>
          <c:order val="1"/>
          <c:tx>
            <c:strRef>
              <c:f>Лист1!$F$3</c:f>
              <c:strCache>
                <c:ptCount val="1"/>
                <c:pt idx="0">
                  <c:v>Energy access and security</c:v>
                </c:pt>
              </c:strCache>
            </c:strRef>
          </c:tx>
          <c:spPr>
            <a:ln w="12700"/>
          </c:spPr>
          <c:marker>
            <c:symbol val="triangle"/>
            <c:size val="3"/>
          </c:marker>
          <c:val>
            <c:numRef>
              <c:f>'[WEF po qodam-son.xlsx]Лист1'!$F$11,'[WEF po qodam-son.xlsx]Лист1'!$J$11,'[WEF po qodam-son.xlsx]Лист1'!$N$11,'[WEF po qodam-son.xlsx]Лист1'!$R$11,'[WEF po qodam-son.xlsx]Лист1'!$V$11</c:f>
              <c:numCache>
                <c:formatCode>0.00</c:formatCode>
                <c:ptCount val="5"/>
                <c:pt idx="0">
                  <c:v>0.62742857142857711</c:v>
                </c:pt>
                <c:pt idx="1">
                  <c:v>0.65201612903225381</c:v>
                </c:pt>
                <c:pt idx="2">
                  <c:v>0.69239999999999913</c:v>
                </c:pt>
                <c:pt idx="3">
                  <c:v>0.68341269841269758</c:v>
                </c:pt>
                <c:pt idx="4">
                  <c:v>0.68614173228346886</c:v>
                </c:pt>
              </c:numCache>
            </c:numRef>
          </c:val>
        </c:ser>
        <c:ser>
          <c:idx val="1"/>
          <c:order val="2"/>
          <c:tx>
            <c:strRef>
              <c:f>Лист1!$E$3</c:f>
              <c:strCache>
                <c:ptCount val="1"/>
                <c:pt idx="0">
                  <c:v>Environmental sustainability</c:v>
                </c:pt>
              </c:strCache>
            </c:strRef>
          </c:tx>
          <c:spPr>
            <a:ln w="12700"/>
          </c:spPr>
          <c:marker>
            <c:symbol val="square"/>
            <c:size val="3"/>
          </c:marker>
          <c:val>
            <c:numRef>
              <c:f>'[WEF po qodam-son.xlsx]Лист1'!$E$11,'[WEF po qodam-son.xlsx]Лист1'!$I$11,'[WEF po qodam-son.xlsx]Лист1'!$M$11,'[WEF po qodam-son.xlsx]Лист1'!$Q$11,'[WEF po qodam-son.xlsx]Лист1'!$U$11</c:f>
              <c:numCache>
                <c:formatCode>0.00</c:formatCode>
                <c:ptCount val="5"/>
                <c:pt idx="0">
                  <c:v>0.53990476190476056</c:v>
                </c:pt>
                <c:pt idx="1">
                  <c:v>0.46024193548387099</c:v>
                </c:pt>
                <c:pt idx="2">
                  <c:v>0.57671999999999979</c:v>
                </c:pt>
                <c:pt idx="3">
                  <c:v>0.61404761904761962</c:v>
                </c:pt>
                <c:pt idx="4">
                  <c:v>0.61566929133858928</c:v>
                </c:pt>
              </c:numCache>
            </c:numRef>
          </c:val>
        </c:ser>
        <c:ser>
          <c:idx val="3"/>
          <c:order val="3"/>
          <c:tx>
            <c:v>Score</c:v>
          </c:tx>
          <c:spPr>
            <a:ln w="12700"/>
          </c:spPr>
          <c:marker>
            <c:symbol val="x"/>
            <c:size val="3"/>
          </c:marker>
          <c:val>
            <c:numRef>
              <c:f>'[WEF po qodam-son.xlsx]Лист1'!$C$11,'[WEF po qodam-son.xlsx]Лист1'!$G$11,'[WEF po qodam-son.xlsx]Лист1'!$K$11,'[WEF po qodam-son.xlsx]Лист1'!$O$11,'[WEF po qodam-son.xlsx]Лист1'!$S$11</c:f>
              <c:numCache>
                <c:formatCode>0.00</c:formatCode>
                <c:ptCount val="5"/>
                <c:pt idx="0">
                  <c:v>0.54790476190476156</c:v>
                </c:pt>
                <c:pt idx="1">
                  <c:v>0.52104838709677415</c:v>
                </c:pt>
                <c:pt idx="2">
                  <c:v>0.59272000000000025</c:v>
                </c:pt>
                <c:pt idx="3">
                  <c:v>0.60357142857142865</c:v>
                </c:pt>
                <c:pt idx="4">
                  <c:v>0.60771653543307391</c:v>
                </c:pt>
              </c:numCache>
            </c:numRef>
          </c:val>
        </c:ser>
        <c:marker val="1"/>
        <c:axId val="192208896"/>
        <c:axId val="193077632"/>
      </c:lineChart>
      <c:catAx>
        <c:axId val="192208896"/>
        <c:scaling>
          <c:orientation val="minMax"/>
        </c:scaling>
        <c:axPos val="b"/>
        <c:numFmt formatCode="General" sourceLinked="1"/>
        <c:tickLblPos val="nextTo"/>
        <c:txPr>
          <a:bodyPr/>
          <a:lstStyle/>
          <a:p>
            <a:pPr>
              <a:defRPr lang="ru-RU" sz="800"/>
            </a:pPr>
            <a:endParaRPr lang="en-US"/>
          </a:p>
        </c:txPr>
        <c:crossAx val="193077632"/>
        <c:crosses val="autoZero"/>
        <c:auto val="1"/>
        <c:lblAlgn val="ctr"/>
        <c:lblOffset val="100"/>
      </c:catAx>
      <c:valAx>
        <c:axId val="193077632"/>
        <c:scaling>
          <c:orientation val="minMax"/>
          <c:min val="0.30000000000000032"/>
        </c:scaling>
        <c:axPos val="l"/>
        <c:numFmt formatCode="0.0" sourceLinked="0"/>
        <c:tickLblPos val="nextTo"/>
        <c:txPr>
          <a:bodyPr/>
          <a:lstStyle/>
          <a:p>
            <a:pPr>
              <a:defRPr lang="ru-RU" sz="800"/>
            </a:pPr>
            <a:endParaRPr lang="en-US"/>
          </a:p>
        </c:txPr>
        <c:crossAx val="192208896"/>
        <c:crosses val="autoZero"/>
        <c:crossBetween val="between"/>
        <c:majorUnit val="0.1"/>
        <c:minorUnit val="2.0000000000000011E-2"/>
      </c:valAx>
    </c:plotArea>
    <c:legend>
      <c:legendPos val="b"/>
      <c:layout>
        <c:manualLayout>
          <c:xMode val="edge"/>
          <c:yMode val="edge"/>
          <c:x val="2.6848723723723902E-2"/>
          <c:y val="0.70877595336128163"/>
          <c:w val="0.93676801801802057"/>
          <c:h val="0.2513431032921668"/>
        </c:manualLayout>
      </c:layout>
      <c:txPr>
        <a:bodyPr/>
        <a:lstStyle/>
        <a:p>
          <a:pPr>
            <a:defRPr lang="ru-RU"/>
          </a:pPr>
          <a:endParaRPr lang="en-US"/>
        </a:p>
      </c:txPr>
    </c:legend>
    <c:plotVisOnly val="1"/>
  </c:chart>
  <c:spPr>
    <a:ln>
      <a:noFill/>
    </a:ln>
  </c:spPr>
  <c:txPr>
    <a:bodyPr/>
    <a:lstStyle/>
    <a:p>
      <a:pPr>
        <a:defRPr sz="600" b="1">
          <a:latin typeface="Times New Roman" pitchFamily="18" charset="0"/>
          <a:cs typeface="Times New Roman" pitchFamily="18" charset="0"/>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2529166666666666"/>
          <c:y val="6.7797603689144434E-2"/>
          <c:w val="0.8461047297297295"/>
          <c:h val="0.5633324558130135"/>
        </c:manualLayout>
      </c:layout>
      <c:lineChart>
        <c:grouping val="standard"/>
        <c:ser>
          <c:idx val="0"/>
          <c:order val="0"/>
          <c:tx>
            <c:strRef>
              <c:f>Лист1!$D$3</c:f>
              <c:strCache>
                <c:ptCount val="1"/>
                <c:pt idx="0">
                  <c:v>Economic growth and development</c:v>
                </c:pt>
              </c:strCache>
            </c:strRef>
          </c:tx>
          <c:spPr>
            <a:ln w="12700"/>
          </c:spPr>
          <c:marker>
            <c:symbol val="diamond"/>
            <c:size val="3"/>
          </c:marker>
          <c:cat>
            <c:numRef>
              <c:f>Лист1!$A$12:$A$16</c:f>
              <c:numCache>
                <c:formatCode>General</c:formatCode>
                <c:ptCount val="5"/>
                <c:pt idx="0">
                  <c:v>2013</c:v>
                </c:pt>
                <c:pt idx="1">
                  <c:v>2014</c:v>
                </c:pt>
                <c:pt idx="2">
                  <c:v>2015</c:v>
                </c:pt>
                <c:pt idx="3">
                  <c:v>2016</c:v>
                </c:pt>
                <c:pt idx="4">
                  <c:v>2017</c:v>
                </c:pt>
              </c:numCache>
            </c:numRef>
          </c:cat>
          <c:val>
            <c:numRef>
              <c:f>Лист1!$D$141:$D$145</c:f>
              <c:numCache>
                <c:formatCode>General</c:formatCode>
                <c:ptCount val="5"/>
                <c:pt idx="0">
                  <c:v>0.47000000000000008</c:v>
                </c:pt>
                <c:pt idx="1">
                  <c:v>0.44</c:v>
                </c:pt>
                <c:pt idx="2">
                  <c:v>0.59</c:v>
                </c:pt>
                <c:pt idx="3">
                  <c:v>0.68</c:v>
                </c:pt>
                <c:pt idx="4">
                  <c:v>0.6500000000000028</c:v>
                </c:pt>
              </c:numCache>
            </c:numRef>
          </c:val>
        </c:ser>
        <c:ser>
          <c:idx val="2"/>
          <c:order val="1"/>
          <c:tx>
            <c:strRef>
              <c:f>Лист1!$F$3</c:f>
              <c:strCache>
                <c:ptCount val="1"/>
                <c:pt idx="0">
                  <c:v>Energy access and security</c:v>
                </c:pt>
              </c:strCache>
            </c:strRef>
          </c:tx>
          <c:spPr>
            <a:ln w="12700"/>
          </c:spPr>
          <c:marker>
            <c:symbol val="triangle"/>
            <c:size val="3"/>
          </c:marker>
          <c:val>
            <c:numRef>
              <c:f>Лист1!$F$141:$F$145</c:f>
              <c:numCache>
                <c:formatCode>General</c:formatCode>
                <c:ptCount val="5"/>
                <c:pt idx="0">
                  <c:v>0.78</c:v>
                </c:pt>
                <c:pt idx="1">
                  <c:v>0.79</c:v>
                </c:pt>
                <c:pt idx="2">
                  <c:v>0.8</c:v>
                </c:pt>
                <c:pt idx="3">
                  <c:v>0.79</c:v>
                </c:pt>
                <c:pt idx="4">
                  <c:v>0.79</c:v>
                </c:pt>
              </c:numCache>
            </c:numRef>
          </c:val>
        </c:ser>
        <c:ser>
          <c:idx val="1"/>
          <c:order val="2"/>
          <c:tx>
            <c:strRef>
              <c:f>Лист1!$E$3</c:f>
              <c:strCache>
                <c:ptCount val="1"/>
                <c:pt idx="0">
                  <c:v>Environmental sustainability</c:v>
                </c:pt>
              </c:strCache>
            </c:strRef>
          </c:tx>
          <c:spPr>
            <a:ln w="12700"/>
          </c:spPr>
          <c:marker>
            <c:symbol val="square"/>
            <c:size val="3"/>
          </c:marker>
          <c:val>
            <c:numRef>
              <c:f>Лист1!$E$141:$E$145</c:f>
              <c:numCache>
                <c:formatCode>General</c:formatCode>
                <c:ptCount val="5"/>
                <c:pt idx="0">
                  <c:v>0.51</c:v>
                </c:pt>
                <c:pt idx="1">
                  <c:v>0.43000000000000038</c:v>
                </c:pt>
                <c:pt idx="2">
                  <c:v>0.62000000000000233</c:v>
                </c:pt>
                <c:pt idx="3">
                  <c:v>0.56999999999999995</c:v>
                </c:pt>
                <c:pt idx="4">
                  <c:v>0.56999999999999995</c:v>
                </c:pt>
              </c:numCache>
            </c:numRef>
          </c:val>
        </c:ser>
        <c:ser>
          <c:idx val="3"/>
          <c:order val="3"/>
          <c:tx>
            <c:v>Score</c:v>
          </c:tx>
          <c:spPr>
            <a:ln w="12700"/>
          </c:spPr>
          <c:marker>
            <c:symbol val="x"/>
            <c:size val="3"/>
          </c:marker>
          <c:val>
            <c:numRef>
              <c:f>Лист1!$H$141:$H$145</c:f>
              <c:numCache>
                <c:formatCode>General</c:formatCode>
                <c:ptCount val="5"/>
                <c:pt idx="0">
                  <c:v>0.59</c:v>
                </c:pt>
                <c:pt idx="1">
                  <c:v>0.55000000000000004</c:v>
                </c:pt>
                <c:pt idx="2">
                  <c:v>0.67000000000000304</c:v>
                </c:pt>
                <c:pt idx="3">
                  <c:v>0.68</c:v>
                </c:pt>
                <c:pt idx="4">
                  <c:v>0.67000000000000304</c:v>
                </c:pt>
              </c:numCache>
            </c:numRef>
          </c:val>
        </c:ser>
        <c:marker val="1"/>
        <c:axId val="193290624"/>
        <c:axId val="193372928"/>
      </c:lineChart>
      <c:catAx>
        <c:axId val="193290624"/>
        <c:scaling>
          <c:orientation val="minMax"/>
        </c:scaling>
        <c:axPos val="b"/>
        <c:numFmt formatCode="General" sourceLinked="1"/>
        <c:tickLblPos val="nextTo"/>
        <c:crossAx val="193372928"/>
        <c:crosses val="autoZero"/>
        <c:auto val="1"/>
        <c:lblAlgn val="ctr"/>
        <c:lblOffset val="100"/>
      </c:catAx>
      <c:valAx>
        <c:axId val="193372928"/>
        <c:scaling>
          <c:orientation val="minMax"/>
          <c:min val="0.30000000000000032"/>
        </c:scaling>
        <c:axPos val="l"/>
        <c:numFmt formatCode="General" sourceLinked="1"/>
        <c:tickLblPos val="nextTo"/>
        <c:crossAx val="193290624"/>
        <c:crosses val="autoZero"/>
        <c:crossBetween val="between"/>
        <c:majorUnit val="0.1"/>
        <c:minorUnit val="2.0000000000000011E-2"/>
      </c:valAx>
    </c:plotArea>
    <c:legend>
      <c:legendPos val="b"/>
      <c:layout>
        <c:manualLayout>
          <c:xMode val="edge"/>
          <c:yMode val="edge"/>
          <c:x val="1.2546921921921918E-2"/>
          <c:y val="0.77524419227220365"/>
          <c:w val="0.9653716216216216"/>
          <c:h val="0.1848748643812409"/>
        </c:manualLayout>
      </c:layout>
      <c:txPr>
        <a:bodyPr/>
        <a:lstStyle/>
        <a:p>
          <a:pPr>
            <a:defRPr sz="600"/>
          </a:pPr>
          <a:endParaRPr lang="en-US"/>
        </a:p>
      </c:txPr>
    </c:legend>
    <c:plotVisOnly val="1"/>
  </c:chart>
  <c:spPr>
    <a:ln>
      <a:noFill/>
    </a:ln>
  </c:spPr>
  <c:txPr>
    <a:bodyPr/>
    <a:lstStyle/>
    <a:p>
      <a:pPr>
        <a:defRPr sz="800" b="1">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AF669-8BBB-4E90-A8D5-7B01CD462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6</Pages>
  <Words>3009</Words>
  <Characters>17155</Characters>
  <Application>Microsoft Office Word</Application>
  <DocSecurity>0</DocSecurity>
  <Lines>142</Lines>
  <Paragraphs>40</Paragraphs>
  <ScaleCrop>false</ScaleCrop>
  <HeadingPairs>
    <vt:vector size="4" baseType="variant">
      <vt:variant>
        <vt:lpstr>Название</vt:lpstr>
      </vt:variant>
      <vt:variant>
        <vt:i4>1</vt:i4>
      </vt:variant>
      <vt:variant>
        <vt:lpstr>Titre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20124</CharactersWithSpaces>
  <SharedDoc>false</SharedDoc>
  <HLinks>
    <vt:vector size="6" baseType="variant">
      <vt:variant>
        <vt:i4>7340056</vt:i4>
      </vt:variant>
      <vt:variant>
        <vt:i4>0</vt:i4>
      </vt:variant>
      <vt:variant>
        <vt:i4>0</vt:i4>
      </vt:variant>
      <vt:variant>
        <vt:i4>5</vt:i4>
      </vt:variant>
      <vt:variant>
        <vt:lpwstr>mailto:author@e-mail.org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creator>Houlbert</dc:creator>
  <cp:lastModifiedBy>User</cp:lastModifiedBy>
  <cp:revision>19</cp:revision>
  <cp:lastPrinted>2016-03-21T05:08:00Z</cp:lastPrinted>
  <dcterms:created xsi:type="dcterms:W3CDTF">2020-06-16T08:21:00Z</dcterms:created>
  <dcterms:modified xsi:type="dcterms:W3CDTF">2020-06-16T11:46:00Z</dcterms:modified>
</cp:coreProperties>
</file>